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ind w:left="6" w:right="4"/>
        <w:jc w:val="center"/>
        <w:rPr>
          <w:rFonts w:ascii="宋体" w:hAnsi="宋体" w:eastAsia="宋体" w:cs="Times New Roman"/>
          <w:b/>
          <w:sz w:val="44"/>
          <w:szCs w:val="44"/>
        </w:rPr>
      </w:pPr>
    </w:p>
    <w:p>
      <w:pPr>
        <w:spacing w:line="680" w:lineRule="exact"/>
        <w:ind w:left="6" w:right="4"/>
        <w:jc w:val="center"/>
        <w:rPr>
          <w:rFonts w:ascii="宋体" w:hAnsi="宋体" w:eastAsia="宋体" w:cs="Times New Roman"/>
          <w:b/>
          <w:sz w:val="44"/>
          <w:szCs w:val="44"/>
        </w:rPr>
      </w:pPr>
    </w:p>
    <w:p>
      <w:pPr>
        <w:spacing w:line="680" w:lineRule="exact"/>
        <w:ind w:left="6" w:right="4"/>
        <w:jc w:val="center"/>
        <w:rPr>
          <w:rFonts w:hint="eastAsia" w:ascii="宋体" w:hAnsi="宋体" w:eastAsia="宋体" w:cs="Times New Roman"/>
          <w:b/>
          <w:sz w:val="44"/>
          <w:szCs w:val="44"/>
        </w:rPr>
      </w:pPr>
    </w:p>
    <w:p>
      <w:pPr>
        <w:spacing w:line="680" w:lineRule="exact"/>
        <w:ind w:left="6" w:right="4"/>
        <w:jc w:val="center"/>
        <w:rPr>
          <w:rFonts w:hint="eastAsia" w:ascii="宋体" w:hAnsi="宋体" w:eastAsia="宋体" w:cs="Times New Roman"/>
          <w:b/>
          <w:sz w:val="44"/>
          <w:szCs w:val="44"/>
          <w:lang w:val="en-US" w:eastAsia="zh-CN"/>
        </w:rPr>
      </w:pPr>
      <w:r>
        <w:rPr>
          <w:rFonts w:hint="eastAsia" w:ascii="宋体" w:hAnsi="宋体" w:eastAsia="宋体" w:cs="Times New Roman"/>
          <w:b/>
          <w:sz w:val="44"/>
          <w:szCs w:val="44"/>
          <w:lang w:val="en-US" w:eastAsia="zh-CN"/>
        </w:rPr>
        <w:t>文物保护及考古科研经费</w:t>
      </w:r>
    </w:p>
    <w:p>
      <w:pPr>
        <w:spacing w:line="680" w:lineRule="exact"/>
        <w:ind w:left="6" w:right="4"/>
        <w:jc w:val="center"/>
        <w:rPr>
          <w:rFonts w:ascii="宋体" w:hAnsi="宋体" w:eastAsia="宋体"/>
          <w:b/>
          <w:sz w:val="44"/>
          <w:szCs w:val="44"/>
        </w:rPr>
      </w:pPr>
      <w:r>
        <w:rPr>
          <w:rFonts w:ascii="宋体" w:hAnsi="宋体" w:eastAsia="宋体"/>
          <w:b/>
          <w:bCs/>
          <w:sz w:val="44"/>
          <w:szCs w:val="44"/>
        </w:rPr>
        <w:t>项目支出绩效评价报告</w:t>
      </w:r>
    </w:p>
    <w:p>
      <w:pPr>
        <w:pStyle w:val="2"/>
        <w:spacing w:line="680" w:lineRule="exact"/>
        <w:rPr>
          <w:sz w:val="56"/>
        </w:rPr>
      </w:pPr>
    </w:p>
    <w:p>
      <w:pPr>
        <w:pStyle w:val="2"/>
        <w:spacing w:line="680" w:lineRule="exact"/>
        <w:rPr>
          <w:sz w:val="56"/>
        </w:rPr>
      </w:pPr>
    </w:p>
    <w:p>
      <w:pPr>
        <w:spacing w:line="578" w:lineRule="exact"/>
        <w:ind w:left="1600" w:hanging="1600" w:hangingChars="500"/>
        <w:rPr>
          <w:rFonts w:ascii="仿宋_GB2312" w:hAnsi="仿宋" w:eastAsia="仿宋_GB2312" w:cs="仿宋"/>
          <w:sz w:val="32"/>
          <w:szCs w:val="32"/>
        </w:rPr>
      </w:pPr>
      <w:r>
        <w:rPr>
          <w:rFonts w:hint="eastAsia" w:ascii="仿宋_GB2312" w:hAnsi="仿宋" w:eastAsia="仿宋_GB2312" w:cs="仿宋"/>
          <w:sz w:val="32"/>
          <w:szCs w:val="32"/>
        </w:rPr>
        <w:t xml:space="preserve">    </w:t>
      </w:r>
    </w:p>
    <w:p>
      <w:pPr>
        <w:spacing w:line="578" w:lineRule="exact"/>
        <w:ind w:left="1600" w:hanging="1600" w:hangingChars="500"/>
        <w:rPr>
          <w:rFonts w:ascii="仿宋_GB2312" w:hAnsi="仿宋" w:eastAsia="仿宋_GB2312" w:cs="仿宋"/>
          <w:sz w:val="32"/>
          <w:szCs w:val="32"/>
        </w:rPr>
      </w:pPr>
    </w:p>
    <w:p>
      <w:pPr>
        <w:spacing w:line="578" w:lineRule="exact"/>
        <w:ind w:left="1600" w:hanging="1600" w:hangingChars="500"/>
        <w:rPr>
          <w:rFonts w:ascii="仿宋_GB2312" w:hAnsi="仿宋" w:eastAsia="仿宋_GB2312" w:cs="仿宋"/>
          <w:sz w:val="32"/>
          <w:szCs w:val="32"/>
        </w:rPr>
      </w:pPr>
    </w:p>
    <w:p>
      <w:pPr>
        <w:spacing w:line="578" w:lineRule="exact"/>
        <w:ind w:left="1600" w:hanging="1600" w:hangingChars="500"/>
        <w:rPr>
          <w:rFonts w:hint="default" w:ascii="仿宋_GB2312" w:hAnsi="仿宋" w:eastAsia="仿宋_GB2312" w:cs="仿宋"/>
          <w:sz w:val="32"/>
          <w:szCs w:val="32"/>
          <w:u w:val="single"/>
          <w:lang w:val="en-US"/>
        </w:rPr>
      </w:pPr>
      <w:r>
        <w:rPr>
          <w:rFonts w:hint="eastAsia" w:ascii="仿宋_GB2312" w:hAnsi="仿宋" w:eastAsia="仿宋_GB2312" w:cs="仿宋"/>
          <w:sz w:val="32"/>
          <w:szCs w:val="32"/>
        </w:rPr>
        <w:t xml:space="preserve">          项</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目</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名</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称：</w:t>
      </w:r>
      <w:r>
        <w:rPr>
          <w:rFonts w:hint="eastAsia" w:ascii="仿宋_GB2312" w:hAnsi="仿宋" w:eastAsia="仿宋_GB2312" w:cs="仿宋"/>
          <w:sz w:val="32"/>
          <w:szCs w:val="32"/>
          <w:u w:val="single"/>
          <w:lang w:val="en-US" w:eastAsia="zh-CN"/>
        </w:rPr>
        <w:t>文物保护及考古科研经费</w:t>
      </w:r>
    </w:p>
    <w:p>
      <w:pPr>
        <w:spacing w:line="578" w:lineRule="exact"/>
        <w:ind w:left="1600" w:hanging="1600" w:hangingChars="500"/>
        <w:rPr>
          <w:rFonts w:ascii="仿宋_GB2312" w:hAnsi="仿宋" w:eastAsia="仿宋_GB2312" w:cs="仿宋"/>
          <w:sz w:val="32"/>
          <w:szCs w:val="32"/>
          <w:u w:val="single"/>
        </w:rPr>
      </w:pPr>
      <w:r>
        <w:rPr>
          <w:rFonts w:hint="eastAsia" w:ascii="仿宋_GB2312" w:hAnsi="仿宋" w:eastAsia="仿宋_GB2312" w:cs="仿宋"/>
          <w:sz w:val="32"/>
          <w:szCs w:val="32"/>
        </w:rPr>
        <w:t xml:space="preserve">          项目主管部门：</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eastAsia="zh-CN"/>
        </w:rPr>
        <w:t>天水市文化和旅游局</w:t>
      </w:r>
      <w:r>
        <w:rPr>
          <w:rFonts w:hint="eastAsia" w:ascii="仿宋_GB2312" w:hAnsi="仿宋" w:eastAsia="仿宋_GB2312" w:cs="仿宋"/>
          <w:sz w:val="32"/>
          <w:szCs w:val="32"/>
          <w:u w:val="single"/>
          <w:lang w:val="en-US" w:eastAsia="zh-CN"/>
        </w:rPr>
        <w:t xml:space="preserve">  </w:t>
      </w:r>
    </w:p>
    <w:p>
      <w:pPr>
        <w:spacing w:line="578" w:lineRule="exact"/>
        <w:rPr>
          <w:rFonts w:hint="eastAsia" w:ascii="仿宋_GB2312" w:hAnsi="仿宋" w:eastAsia="仿宋_GB2312" w:cs="仿宋"/>
          <w:sz w:val="32"/>
          <w:szCs w:val="32"/>
          <w:u w:val="single"/>
          <w:lang w:val="en-US" w:eastAsia="zh-CN"/>
        </w:rPr>
      </w:pPr>
      <w:r>
        <w:rPr>
          <w:rFonts w:hint="eastAsia" w:ascii="仿宋_GB2312" w:hAnsi="仿宋" w:eastAsia="仿宋_GB2312" w:cs="仿宋"/>
          <w:sz w:val="32"/>
          <w:szCs w:val="32"/>
        </w:rPr>
        <w:t xml:space="preserve">          评价实施部门：</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eastAsia="zh-CN"/>
        </w:rPr>
        <w:t>天水市文化和旅游局</w:t>
      </w:r>
      <w:r>
        <w:rPr>
          <w:rFonts w:hint="eastAsia" w:ascii="仿宋_GB2312" w:hAnsi="仿宋" w:eastAsia="仿宋_GB2312" w:cs="仿宋"/>
          <w:sz w:val="32"/>
          <w:szCs w:val="32"/>
          <w:u w:val="single"/>
          <w:lang w:val="en-US" w:eastAsia="zh-CN"/>
        </w:rPr>
        <w:t xml:space="preserve">  </w:t>
      </w:r>
    </w:p>
    <w:p>
      <w:pPr>
        <w:spacing w:line="578" w:lineRule="exact"/>
        <w:rPr>
          <w:rFonts w:ascii="仿宋_GB2312" w:hAnsi="仿宋" w:eastAsia="仿宋_GB2312" w:cs="仿宋"/>
          <w:sz w:val="32"/>
          <w:szCs w:val="32"/>
          <w:u w:val="single"/>
        </w:rPr>
      </w:pPr>
      <w:r>
        <w:rPr>
          <w:rFonts w:hint="eastAsia" w:ascii="仿宋_GB2312" w:hAnsi="仿宋" w:eastAsia="仿宋_GB2312" w:cs="仿宋"/>
          <w:sz w:val="32"/>
          <w:szCs w:val="32"/>
        </w:rPr>
        <w:t xml:space="preserve">          评价机构名称：</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eastAsia="zh-CN"/>
        </w:rPr>
        <w:t>天水市文化和旅游局</w:t>
      </w:r>
      <w:r>
        <w:rPr>
          <w:rFonts w:hint="eastAsia" w:ascii="仿宋_GB2312" w:hAnsi="仿宋" w:eastAsia="仿宋_GB2312" w:cs="仿宋"/>
          <w:sz w:val="32"/>
          <w:szCs w:val="32"/>
          <w:u w:val="single"/>
        </w:rPr>
        <w:t xml:space="preserve">  </w:t>
      </w:r>
    </w:p>
    <w:p>
      <w:pPr>
        <w:spacing w:line="578" w:lineRule="exact"/>
        <w:rPr>
          <w:rFonts w:ascii="仿宋_GB2312" w:hAnsi="仿宋" w:eastAsia="仿宋_GB2312" w:cs="仿宋"/>
          <w:sz w:val="32"/>
          <w:szCs w:val="32"/>
        </w:rPr>
      </w:pPr>
      <w:r>
        <w:rPr>
          <w:rFonts w:hint="eastAsia" w:ascii="仿宋_GB2312" w:hAnsi="仿宋" w:eastAsia="仿宋_GB2312" w:cs="仿宋"/>
          <w:sz w:val="32"/>
          <w:szCs w:val="32"/>
        </w:rPr>
        <w:t xml:space="preserve">        </w:t>
      </w:r>
    </w:p>
    <w:p>
      <w:pPr>
        <w:spacing w:line="578" w:lineRule="exact"/>
        <w:rPr>
          <w:rFonts w:ascii="仿宋_GB2312" w:hAnsi="仿宋" w:eastAsia="仿宋_GB2312" w:cs="仿宋"/>
          <w:sz w:val="32"/>
          <w:szCs w:val="32"/>
        </w:rPr>
      </w:pPr>
    </w:p>
    <w:p>
      <w:pPr>
        <w:spacing w:line="578" w:lineRule="exact"/>
        <w:rPr>
          <w:rFonts w:ascii="仿宋_GB2312" w:hAnsi="仿宋" w:eastAsia="仿宋_GB2312" w:cs="仿宋"/>
          <w:sz w:val="32"/>
          <w:szCs w:val="32"/>
        </w:rPr>
      </w:pPr>
    </w:p>
    <w:p>
      <w:pPr>
        <w:spacing w:line="578" w:lineRule="exact"/>
        <w:rPr>
          <w:sz w:val="73"/>
        </w:rPr>
      </w:pPr>
    </w:p>
    <w:p>
      <w:pPr>
        <w:spacing w:line="578" w:lineRule="exact"/>
        <w:rPr>
          <w:rFonts w:ascii="仿宋_GB2312" w:hAnsi="仿宋" w:eastAsia="仿宋_GB2312" w:cs="仿宋"/>
          <w:sz w:val="32"/>
          <w:szCs w:val="32"/>
        </w:rPr>
      </w:pPr>
      <w:r>
        <w:rPr>
          <w:rFonts w:hint="eastAsia" w:ascii="仿宋_GB2312" w:hAnsi="仿宋" w:eastAsia="仿宋_GB2312" w:cs="仿宋"/>
          <w:sz w:val="32"/>
          <w:szCs w:val="32"/>
        </w:rPr>
        <w:t xml:space="preserve">                     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p>
    <w:p>
      <w:pPr>
        <w:spacing w:line="680" w:lineRule="exact"/>
        <w:jc w:val="center"/>
        <w:rPr>
          <w:rFonts w:ascii="黑体" w:hAnsi="黑体" w:eastAsia="黑体"/>
        </w:rPr>
        <w:sectPr>
          <w:footerReference r:id="rId3" w:type="default"/>
          <w:pgSz w:w="11910" w:h="16840"/>
          <w:pgMar w:top="1600" w:right="1360" w:bottom="1320" w:left="1360" w:header="0" w:footer="1134" w:gutter="0"/>
          <w:cols w:space="720" w:num="1"/>
        </w:sectPr>
      </w:pPr>
    </w:p>
    <w:p>
      <w:pPr>
        <w:pStyle w:val="2"/>
        <w:keepNext w:val="0"/>
        <w:keepLines w:val="0"/>
        <w:pageBreakBefore w:val="0"/>
        <w:widowControl w:val="0"/>
        <w:kinsoku/>
        <w:wordWrap/>
        <w:overflowPunct/>
        <w:topLinePunct w:val="0"/>
        <w:autoSpaceDE/>
        <w:autoSpaceDN/>
        <w:bidi w:val="0"/>
        <w:adjustRightInd/>
        <w:snapToGrid/>
        <w:spacing w:line="560" w:lineRule="exact"/>
        <w:ind w:left="753"/>
        <w:rPr>
          <w:rFonts w:ascii="黑体" w:eastAsia="黑体"/>
        </w:rPr>
      </w:pPr>
      <w:r>
        <w:rPr>
          <w:rFonts w:hint="eastAsia" w:ascii="黑体" w:eastAsia="黑体"/>
        </w:rPr>
        <w:t>一、项目基本情况</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eastAsia" w:ascii="Times New Roman" w:hAnsi="Times New Roman" w:eastAsia="仿宋_GB2312" w:cs="Times New Roman"/>
        </w:rPr>
      </w:pPr>
      <w:r>
        <w:rPr>
          <w:rFonts w:hint="eastAsia" w:ascii="Times New Roman" w:hAnsi="Times New Roman" w:eastAsia="仿宋_GB2312" w:cs="Times New Roman"/>
        </w:rPr>
        <w:t>（一）项目立项背景。</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天水历史文化悠久，是中华民族和华夏文明的重要发祥地，以伏羲文化、大地湾文化、秦早期文化、麦积山石窟文化和三国古战场文化为代表的“五大文化”，构成了天水丰富的历史文化资源，文物古迹可谓不少。而文物是文化的物质遗存，具有独特的历史、艺术和科学价值，是社会进步的历史见证，对历史研究具有重要使用价值，是人类社会在社会发展各个阶段智慧的结晶，对人类社会的发展研究具有重要的科学价值，是文化、旅游产业以及可持续发展的特殊资源。因此，它对天水市文化和经济的发展有一定推动和促进作用。为认真贯彻落实国家和省、市关于文化工作的系列决策部署，建设特色文化大市，深入挖掘五大历史文化资源，为天水历史文化研究、传承提供智力支持，经</w:t>
      </w:r>
      <w:r>
        <w:rPr>
          <w:rFonts w:hint="eastAsia" w:ascii="Times New Roman" w:hAnsi="Times New Roman" w:eastAsia="仿宋_GB2312" w:cs="Times New Roman"/>
        </w:rPr>
        <w:t>2002年市财政审定</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设立文物保护及考古科研经费项目。</w:t>
      </w:r>
    </w:p>
    <w:p>
      <w:pPr>
        <w:pStyle w:val="2"/>
        <w:keepNext w:val="0"/>
        <w:keepLines w:val="0"/>
        <w:pageBreakBefore w:val="0"/>
        <w:widowControl w:val="0"/>
        <w:kinsoku/>
        <w:wordWrap/>
        <w:overflowPunct/>
        <w:topLinePunct w:val="0"/>
        <w:autoSpaceDE/>
        <w:autoSpaceDN/>
        <w:bidi w:val="0"/>
        <w:adjustRightInd/>
        <w:snapToGrid/>
        <w:spacing w:line="560" w:lineRule="exact"/>
        <w:ind w:right="125" w:firstLine="640" w:firstLineChars="200"/>
        <w:rPr>
          <w:rFonts w:hint="eastAsia" w:ascii="Times New Roman" w:hAnsi="Times New Roman" w:eastAsia="仿宋_GB2312" w:cs="Times New Roman"/>
        </w:rPr>
      </w:pPr>
      <w:r>
        <w:rPr>
          <w:rFonts w:hint="eastAsia" w:ascii="Times New Roman" w:hAnsi="Times New Roman" w:eastAsia="仿宋_GB2312" w:cs="Times New Roman"/>
        </w:rPr>
        <w:t>（二）项目预算安排及使用情况。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2022年市级预算安排天水市文物保护和考古研究中心文物保护及考古科研经费40万元，实际下拨资金20万元，共支出14.8529万元，执行率74.26%。</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25" w:rightChars="0" w:firstLine="640" w:firstLineChars="200"/>
        <w:rPr>
          <w:rFonts w:hint="eastAsia" w:ascii="Times New Roman" w:hAnsi="Times New Roman" w:eastAsia="仿宋_GB2312" w:cs="Times New Roman"/>
        </w:rPr>
      </w:pPr>
      <w:r>
        <w:rPr>
          <w:rFonts w:hint="eastAsia" w:ascii="Times New Roman" w:hAnsi="Times New Roman" w:eastAsia="仿宋_GB2312" w:cs="Times New Roman"/>
          <w:lang w:eastAsia="zh-CN"/>
        </w:rPr>
        <w:t>（三）</w:t>
      </w:r>
      <w:r>
        <w:rPr>
          <w:rFonts w:hint="eastAsia" w:ascii="Times New Roman" w:hAnsi="Times New Roman" w:eastAsia="仿宋_GB2312" w:cs="Times New Roman"/>
        </w:rPr>
        <w:t>项目计划内容及实施情况。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lang w:val="en-US" w:eastAsia="zh-CN"/>
        </w:rPr>
        <w:t>此项目经</w:t>
      </w:r>
      <w:r>
        <w:rPr>
          <w:rFonts w:hint="eastAsia" w:ascii="Times New Roman" w:hAnsi="Times New Roman" w:eastAsia="仿宋_GB2312" w:cs="Times New Roman"/>
        </w:rPr>
        <w:t>2002年市财政审定</w:t>
      </w:r>
      <w:r>
        <w:rPr>
          <w:rFonts w:hint="eastAsia" w:ascii="Times New Roman" w:hAnsi="Times New Roman" w:eastAsia="仿宋_GB2312" w:cs="Times New Roman"/>
          <w:lang w:val="en-US" w:eastAsia="zh-CN"/>
        </w:rPr>
        <w:t>立项，</w:t>
      </w:r>
      <w:r>
        <w:rPr>
          <w:rFonts w:hint="eastAsia" w:ascii="Times New Roman" w:hAnsi="仿宋_GB2312" w:eastAsia="仿宋_GB2312"/>
          <w:sz w:val="32"/>
          <w:szCs w:val="32"/>
          <w:lang w:val="en-US" w:eastAsia="zh-CN"/>
        </w:rPr>
        <w:t>预期目标是将项目资金主要用于2022年全市境内发现墓葬的抢救性发掘，开展文物资源的考古调查活动，做好发现文物的研究和保护工作。但受疫情影响，2022年业务工作无法正常开展，项目资金实际用于办公室装修、办公设备和办公家具用具购置等方面的支出，共支出14.8529万元，剩余数额被财政收回。</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项目组织管理。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项目主管部门是天水市文化和旅游局，项目执行单位是天水市文物保护和考古研究中心，项目严格按照财务管理制度，财务处理及时，会计核算规范。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eastAsia="黑体"/>
        </w:rPr>
      </w:pPr>
      <w:r>
        <w:rPr>
          <w:rFonts w:hint="eastAsia" w:ascii="黑体" w:eastAsia="黑体"/>
        </w:rPr>
        <w:t>二、项目绩效目标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（一）总体绩效目标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预期目标是将项目资金主要用于2022年全市境内发现墓葬的抢救性发掘，开展文物资源的考古调查活动，做好发现文物的研究和保护工作。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黑体" w:eastAsia="黑体"/>
        </w:rPr>
      </w:pPr>
      <w:r>
        <w:rPr>
          <w:rFonts w:hint="eastAsia" w:ascii="仿宋_GB2312" w:hAnsi="Times New Roman" w:eastAsia="仿宋_GB2312" w:cs="Times New Roman"/>
          <w:lang w:eastAsia="zh-CN"/>
        </w:rPr>
        <w:t>（</w:t>
      </w:r>
      <w:r>
        <w:rPr>
          <w:rFonts w:hint="eastAsia" w:ascii="仿宋_GB2312" w:hAnsi="Times New Roman" w:eastAsia="仿宋_GB2312" w:cs="Times New Roman"/>
          <w:lang w:val="en-US" w:eastAsia="zh-CN"/>
        </w:rPr>
        <w:t>二</w:t>
      </w:r>
      <w:r>
        <w:rPr>
          <w:rFonts w:hint="eastAsia" w:ascii="仿宋_GB2312" w:hAnsi="Times New Roman" w:eastAsia="仿宋_GB2312" w:cs="Times New Roman"/>
          <w:lang w:eastAsia="zh-CN"/>
        </w:rPr>
        <w:t>）</w:t>
      </w:r>
      <w:r>
        <w:rPr>
          <w:rFonts w:hint="eastAsia" w:ascii="仿宋_GB2312" w:hAnsi="Times New Roman" w:eastAsia="仿宋_GB2312" w:cs="Times New Roman"/>
        </w:rPr>
        <w:t>年度绩效目</w:t>
      </w:r>
      <w:r>
        <w:rPr>
          <w:rFonts w:hint="eastAsia" w:ascii="Times New Roman" w:hAnsi="Times New Roman" w:eastAsia="仿宋_GB2312" w:cs="Times New Roman"/>
        </w:rPr>
        <w:t>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lang w:val="en-US" w:eastAsia="zh-CN"/>
        </w:rPr>
      </w:pPr>
      <w:r>
        <w:rPr>
          <w:rFonts w:hint="eastAsia" w:ascii="仿宋_GB2312" w:hAnsi="Times New Roman" w:eastAsia="仿宋_GB2312" w:cs="Times New Roman"/>
          <w:lang w:val="en-US" w:eastAsia="zh-CN"/>
        </w:rPr>
        <w:t>1.完成2022年全市境内发现墓葬的抢救性发掘。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lang w:val="en-US" w:eastAsia="zh-CN"/>
        </w:rPr>
      </w:pPr>
      <w:r>
        <w:rPr>
          <w:rFonts w:hint="eastAsia" w:ascii="仿宋_GB2312" w:hAnsi="Times New Roman" w:eastAsia="仿宋_GB2312" w:cs="Times New Roman"/>
          <w:lang w:val="en-US" w:eastAsia="zh-CN"/>
        </w:rPr>
        <w:t>2.在全市境内展开2次文物资源的考古调查活动。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Times New Roman" w:eastAsia="仿宋_GB2312" w:cs="Times New Roman"/>
          <w:lang w:val="en-US" w:eastAsia="zh-CN"/>
        </w:rPr>
      </w:pPr>
      <w:r>
        <w:rPr>
          <w:rFonts w:hint="eastAsia" w:ascii="仿宋_GB2312" w:hAnsi="Times New Roman" w:eastAsia="仿宋_GB2312" w:cs="Times New Roman"/>
          <w:lang w:val="en-US" w:eastAsia="zh-CN"/>
        </w:rPr>
        <w:t>3.完成2项发掘和调查文物的科学研究，联合业内专家开展3次学术研讨交流活动。</w:t>
      </w:r>
    </w:p>
    <w:p>
      <w:pPr>
        <w:pStyle w:val="2"/>
        <w:keepNext w:val="0"/>
        <w:keepLines w:val="0"/>
        <w:pageBreakBefore w:val="0"/>
        <w:widowControl w:val="0"/>
        <w:kinsoku/>
        <w:wordWrap/>
        <w:overflowPunct/>
        <w:topLinePunct w:val="0"/>
        <w:autoSpaceDE/>
        <w:autoSpaceDN/>
        <w:bidi w:val="0"/>
        <w:adjustRightInd/>
        <w:snapToGrid/>
        <w:spacing w:line="560" w:lineRule="exact"/>
        <w:ind w:left="753"/>
        <w:rPr>
          <w:rFonts w:ascii="黑体" w:eastAsia="黑体"/>
        </w:rPr>
      </w:pPr>
      <w:r>
        <w:rPr>
          <w:rFonts w:hint="eastAsia" w:ascii="黑体" w:eastAsia="黑体"/>
        </w:rPr>
        <w:t>三、评价基本情况</w:t>
      </w:r>
    </w:p>
    <w:p>
      <w:pPr>
        <w:pStyle w:val="2"/>
        <w:keepNext w:val="0"/>
        <w:keepLines w:val="0"/>
        <w:pageBreakBefore w:val="0"/>
        <w:widowControl w:val="0"/>
        <w:kinsoku/>
        <w:wordWrap/>
        <w:overflowPunct/>
        <w:topLinePunct w:val="0"/>
        <w:autoSpaceDE/>
        <w:autoSpaceDN/>
        <w:bidi w:val="0"/>
        <w:adjustRightInd/>
        <w:snapToGrid/>
        <w:spacing w:line="560" w:lineRule="exact"/>
        <w:ind w:right="125" w:firstLine="640" w:firstLineChars="200"/>
        <w:rPr>
          <w:rFonts w:hint="eastAsia" w:ascii="Times New Roman" w:hAnsi="Times New Roman" w:eastAsia="仿宋_GB2312" w:cs="Times New Roman"/>
        </w:rPr>
      </w:pPr>
      <w:r>
        <w:rPr>
          <w:rFonts w:hint="eastAsia" w:ascii="Times New Roman" w:hAnsi="Times New Roman" w:eastAsia="仿宋_GB2312" w:cs="Times New Roman"/>
        </w:rPr>
        <w:t>（一）评价目的。</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eastAsia" w:ascii="Times New Roman" w:hAnsi="Times New Roman" w:eastAsia="仿宋_GB2312" w:cs="Times New Roman"/>
        </w:rPr>
      </w:pPr>
      <w:r>
        <w:rPr>
          <w:rFonts w:hint="eastAsia" w:ascii="Times New Roman" w:hAnsi="Times New Roman" w:eastAsia="仿宋_GB2312" w:cs="Times New Roman"/>
        </w:rPr>
        <w:t>进一步规范立项，使得立项目标合理，累积项目管理经验，健全管理制度，使制度执行有效，项目质量可靠，资金使用合规。</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11" w:leftChars="0" w:right="125" w:firstLine="639" w:firstLineChars="0"/>
        <w:rPr>
          <w:rFonts w:hint="eastAsia" w:ascii="Times New Roman" w:hAnsi="Times New Roman" w:eastAsia="仿宋_GB2312" w:cs="Times New Roman"/>
        </w:rPr>
      </w:pPr>
      <w:r>
        <w:rPr>
          <w:rFonts w:hint="eastAsia" w:ascii="Times New Roman" w:hAnsi="Times New Roman" w:eastAsia="仿宋_GB2312" w:cs="Times New Roman"/>
        </w:rPr>
        <w:t>评价对象与范围。</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eastAsia" w:ascii="Times New Roman" w:hAnsi="Times New Roman" w:eastAsia="仿宋_GB2312" w:cs="Times New Roman"/>
        </w:rPr>
      </w:pPr>
      <w:r>
        <w:rPr>
          <w:rFonts w:hint="eastAsia" w:ascii="Times New Roman" w:hAnsi="Times New Roman" w:eastAsia="仿宋_GB2312" w:cs="Times New Roman"/>
        </w:rPr>
        <w:t>本次绩效评价的范围是202</w:t>
      </w:r>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年度</w:t>
      </w:r>
      <w:r>
        <w:rPr>
          <w:rFonts w:hint="eastAsia" w:ascii="Times New Roman" w:hAnsi="Times New Roman" w:eastAsia="仿宋_GB2312" w:cs="Times New Roman"/>
          <w:lang w:val="en-US" w:eastAsia="zh-CN"/>
        </w:rPr>
        <w:t>文物保护及考古科研</w:t>
      </w:r>
      <w:r>
        <w:rPr>
          <w:rFonts w:hint="eastAsia" w:ascii="Times New Roman" w:hAnsi="Times New Roman" w:eastAsia="仿宋_GB2312" w:cs="Times New Roman"/>
        </w:rPr>
        <w:t>经费，涉及资金</w:t>
      </w:r>
      <w:r>
        <w:rPr>
          <w:rFonts w:hint="eastAsia" w:ascii="Times New Roman" w:hAnsi="Times New Roman" w:eastAsia="仿宋_GB2312" w:cs="Times New Roman"/>
          <w:lang w:val="en-US" w:eastAsia="zh-CN"/>
        </w:rPr>
        <w:t>20</w:t>
      </w:r>
      <w:r>
        <w:rPr>
          <w:rFonts w:hint="eastAsia" w:ascii="Times New Roman" w:hAnsi="Times New Roman" w:eastAsia="仿宋_GB2312" w:cs="Times New Roman"/>
        </w:rPr>
        <w:t>万元，具体评价对象为天水市</w:t>
      </w:r>
      <w:r>
        <w:rPr>
          <w:rFonts w:hint="eastAsia" w:ascii="Times New Roman" w:hAnsi="Times New Roman" w:eastAsia="仿宋_GB2312" w:cs="Times New Roman"/>
          <w:lang w:val="en-US" w:eastAsia="zh-CN"/>
        </w:rPr>
        <w:t>文物保护和考古研究中心</w:t>
      </w:r>
      <w:r>
        <w:rPr>
          <w:rFonts w:hint="eastAsia" w:ascii="Times New Roman" w:hAnsi="Times New Roman" w:eastAsia="仿宋_GB2312" w:cs="Times New Roman"/>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11" w:leftChars="0" w:right="125" w:firstLine="639" w:firstLineChars="0"/>
        <w:rPr>
          <w:rFonts w:hint="eastAsia" w:ascii="Times New Roman" w:hAnsi="Times New Roman" w:eastAsia="仿宋_GB2312" w:cs="Times New Roman"/>
        </w:rPr>
      </w:pPr>
      <w:r>
        <w:rPr>
          <w:rFonts w:hint="eastAsia" w:ascii="Times New Roman" w:hAnsi="Times New Roman" w:eastAsia="仿宋_GB2312" w:cs="Times New Roman"/>
        </w:rPr>
        <w:t>评价原则、评价方法。</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eastAsia" w:ascii="Times New Roman" w:hAnsi="Times New Roman" w:eastAsia="仿宋_GB2312" w:cs="Times New Roman"/>
        </w:rPr>
      </w:pPr>
      <w:r>
        <w:rPr>
          <w:rFonts w:hint="eastAsia" w:ascii="Times New Roman" w:hAnsi="Times New Roman" w:eastAsia="仿宋_GB2312" w:cs="Times New Roman"/>
        </w:rPr>
        <w:t>本次评价工作遵循“客观、公正、科学、规范”的基本原则，按照严格的持续、客观的态度，采取定量与定性相结合、书面评审与现场核实评价相结合的方式，综合运用比较法、公众评判法等方法，在全面收集统计数据的基础上，对专项资金分配和使用、项目管理、产出和效益各环节进行规范性、有效性和合理性评价。</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11" w:leftChars="0" w:right="125" w:firstLine="639" w:firstLineChars="0"/>
        <w:rPr>
          <w:rFonts w:hint="eastAsia"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color w:val="000000" w:themeColor="text1"/>
          <w14:textFill>
            <w14:solidFill>
              <w14:schemeClr w14:val="tx1"/>
            </w14:solidFill>
          </w14:textFill>
        </w:rPr>
        <w:t>绩效评价指标体系。</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1.预算资金到位情况，评价目标值：100%;</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2.预算编制合理性，评价目标值：合理，评价标准：预算内容与项目实际工作内容匹配;总预算细分为具体项目预算;预算额度测算依据充分，数量与产出指标匹配，单价有标准来源;</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3.财务监控有效性，评价目标值：有效，评价标准：已制定或具有相应的财务监控机制;采取了相应的财务检查等必要的监控措施或手段，对资金使用进行监控;</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资金使用规范性，评价目标值：合规，评价标准：不存在截留、挤占、挪用、虚列支出等情况;符合国家财经法规和财务管理制度以及有关专项资金管理办法的规定;符合项目预算批复或合同规定的用途;项目的重大开支经过评估认证;预算资金的拨付有完整的审批程序和手续;</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财务管理制度健全性，评价目标值：健全，评价标准：往来资金结算管理相关规定完整;支出管理相关规定完整;收入管理相关规定完整;现金及银行存款管理相关规定完整;财务监督管理相关规定完整;资产管理相关规定完整;采购管理相关规定完整;预算管理相关规定完整;已制定专项资金管理制度或有适用于本项目的财务管理制度;</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6.举办各类学术报告、讲座等学术交流活动，评价目标值：</w:t>
      </w:r>
      <w:r>
        <w:rPr>
          <w:rFonts w:hint="eastAsia" w:ascii="Times New Roman" w:hAnsi="Times New Roman" w:eastAsia="仿宋_GB2312" w:cs="Times New Roman"/>
          <w:highlight w:val="none"/>
          <w:lang w:eastAsia="zh-CN"/>
        </w:rPr>
        <w:t>组织职工集体参加线上讲座等活动次数</w:t>
      </w:r>
      <w:r>
        <w:rPr>
          <w:rFonts w:hint="eastAsia" w:ascii="Times New Roman" w:hAnsi="Times New Roman" w:eastAsia="仿宋_GB2312" w:cs="Times New Roman"/>
          <w:highlight w:val="none"/>
          <w:lang w:val="en-US" w:eastAsia="zh-CN"/>
        </w:rPr>
        <w:t>大于等于3场；</w:t>
      </w:r>
      <w:r>
        <w:rPr>
          <w:rFonts w:hint="eastAsia" w:ascii="Times New Roman" w:hAnsi="Times New Roman" w:eastAsia="仿宋_GB2312" w:cs="Times New Roman"/>
          <w:lang w:val="en-US" w:eastAsia="zh-CN"/>
        </w:rPr>
        <w:t>业绩值：4场，完成率133.33%；</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7.及时参加学术讲座、文物调查等业务活动，评价目标值：大于等于90%；业绩值：100%；</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8.及时完成绩效项目的填报、追踪、评价等各环节任务，评价目标值：及时；业绩值：100%；</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9.经费控制率在预算资金范围之内，评价目标值：大于等于90%；业绩值：100%；</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10.资金利用率，评价目标值：资金使用规范；业绩值：74.26%；</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11.文物保护研究成果2项，分别为：王太职著《古史探微》，郑贵祥著《夏商周社会艺术心理学》，评价目标值：完成；业绩值：100%；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50" w:leftChars="0" w:right="125" w:rightChars="0"/>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12.长效管理机制的健全性，评价目标值：健全。</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default" w:ascii="Times New Roman" w:hAnsi="Times New Roman" w:eastAsia="仿宋_GB2312"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13.工作人员满意度，评价目标值：大于等于90%。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50" w:leftChars="0" w:right="125" w:rightChars="0"/>
        <w:rPr>
          <w:rFonts w:hint="eastAsia"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lang w:val="en-US" w:eastAsia="zh-CN"/>
        </w:rPr>
        <w:t>（五）</w:t>
      </w:r>
      <w:r>
        <w:rPr>
          <w:rFonts w:hint="eastAsia" w:ascii="Times New Roman" w:hAnsi="Times New Roman" w:eastAsia="仿宋_GB2312" w:cs="Times New Roman"/>
          <w:color w:val="000000" w:themeColor="text1"/>
          <w14:textFill>
            <w14:solidFill>
              <w14:schemeClr w14:val="tx1"/>
            </w14:solidFill>
          </w14:textFill>
        </w:rPr>
        <w:t>评价人员组成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25" w:rightChars="0" w:firstLine="640" w:firstLineChars="200"/>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评价组成人员：</w:t>
      </w:r>
      <w:r>
        <w:rPr>
          <w:rFonts w:hint="eastAsia" w:ascii="Times New Roman" w:hAnsi="Times New Roman" w:eastAsia="仿宋_GB2312" w:cs="Times New Roman"/>
          <w:lang w:val="en-US" w:eastAsia="zh-CN"/>
        </w:rPr>
        <w:t>裴康吉、李琳琳、李淑玲、廖文婷、王甲武。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50" w:leftChars="0" w:right="125" w:rightChars="0"/>
        <w:rPr>
          <w:rFonts w:hint="eastAsia" w:ascii="Times New Roman" w:hAnsi="Times New Roman" w:eastAsia="仿宋_GB2312" w:cs="Times New Roman"/>
        </w:rPr>
      </w:pP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六</w:t>
      </w:r>
      <w:r>
        <w:rPr>
          <w:rFonts w:hint="eastAsia" w:ascii="Times New Roman" w:hAnsi="Times New Roman" w:eastAsia="仿宋_GB2312" w:cs="Times New Roman"/>
          <w:lang w:eastAsia="zh-CN"/>
        </w:rPr>
        <w:t>）</w:t>
      </w:r>
      <w:r>
        <w:rPr>
          <w:rFonts w:hint="eastAsia" w:ascii="Times New Roman" w:hAnsi="Times New Roman" w:eastAsia="仿宋_GB2312" w:cs="Times New Roman"/>
        </w:rPr>
        <w:t>绩效评价工作过程</w:t>
      </w:r>
    </w:p>
    <w:p>
      <w:pPr>
        <w:pStyle w:val="8"/>
        <w:keepNext w:val="0"/>
        <w:keepLines w:val="0"/>
        <w:pageBreakBefore w:val="0"/>
        <w:widowControl w:val="0"/>
        <w:shd w:val="clear" w:color="auto" w:fill="auto"/>
        <w:tabs>
          <w:tab w:val="left" w:pos="1628"/>
        </w:tabs>
        <w:kinsoku/>
        <w:wordWrap/>
        <w:overflowPunct/>
        <w:topLinePunct w:val="0"/>
        <w:autoSpaceDE/>
        <w:autoSpaceDN/>
        <w:bidi w:val="0"/>
        <w:adjustRightInd/>
        <w:snapToGrid/>
        <w:spacing w:before="0" w:after="0" w:line="560" w:lineRule="exact"/>
        <w:ind w:left="0" w:leftChars="0" w:right="0" w:firstLine="640" w:firstLineChars="200"/>
        <w:jc w:val="left"/>
        <w:rPr>
          <w:rFonts w:hint="default" w:eastAsia="宋体"/>
          <w:color w:val="000000"/>
          <w:spacing w:val="0"/>
          <w:w w:val="100"/>
          <w:position w:val="0"/>
          <w:lang w:val="en-US" w:eastAsia="zh-CN"/>
        </w:rPr>
      </w:pPr>
      <w:r>
        <w:rPr>
          <w:rFonts w:hint="eastAsia" w:ascii="仿宋_GB2312" w:hAnsi="宋体" w:eastAsia="仿宋_GB2312" w:cs="宋体"/>
          <w:color w:val="000000"/>
          <w:spacing w:val="0"/>
          <w:w w:val="100"/>
          <w:position w:val="0"/>
          <w:sz w:val="32"/>
          <w:szCs w:val="32"/>
          <w:u w:val="none"/>
          <w:shd w:val="clear" w:color="auto" w:fill="auto"/>
          <w:lang w:val="en-US" w:eastAsia="zh-CN" w:bidi="zh-TW"/>
        </w:rPr>
        <w:t>经过资料核查，实</w:t>
      </w:r>
      <w:r>
        <w:rPr>
          <w:rFonts w:hint="eastAsia" w:ascii="仿宋_GB2312" w:eastAsia="仿宋_GB2312" w:cs="宋体"/>
          <w:color w:val="000000"/>
          <w:spacing w:val="0"/>
          <w:w w:val="100"/>
          <w:position w:val="0"/>
          <w:sz w:val="32"/>
          <w:szCs w:val="32"/>
          <w:u w:val="none"/>
          <w:shd w:val="clear" w:color="auto" w:fill="auto"/>
          <w:lang w:val="en-US" w:eastAsia="zh-CN" w:bidi="zh-TW"/>
        </w:rPr>
        <w:t>际情况查看</w:t>
      </w:r>
      <w:r>
        <w:rPr>
          <w:rFonts w:hint="eastAsia" w:ascii="仿宋_GB2312" w:hAnsi="宋体" w:eastAsia="仿宋_GB2312" w:cs="宋体"/>
          <w:color w:val="000000"/>
          <w:spacing w:val="0"/>
          <w:w w:val="100"/>
          <w:position w:val="0"/>
          <w:sz w:val="32"/>
          <w:szCs w:val="32"/>
          <w:u w:val="none"/>
          <w:shd w:val="clear" w:color="auto" w:fill="auto"/>
          <w:lang w:val="en-US" w:eastAsia="zh-CN" w:bidi="zh-TW"/>
        </w:rPr>
        <w:t>，进行综合分析评价，采用评分和评级相结合的</w:t>
      </w:r>
      <w:r>
        <w:rPr>
          <w:rFonts w:hint="eastAsia" w:ascii="仿宋_GB2312" w:eastAsia="仿宋_GB2312" w:cs="宋体"/>
          <w:color w:val="000000"/>
          <w:spacing w:val="0"/>
          <w:w w:val="100"/>
          <w:position w:val="0"/>
          <w:sz w:val="32"/>
          <w:szCs w:val="32"/>
          <w:u w:val="none"/>
          <w:shd w:val="clear" w:color="auto" w:fill="auto"/>
          <w:lang w:val="en-US" w:eastAsia="zh-CN" w:bidi="zh-TW"/>
        </w:rPr>
        <w:t>方式</w:t>
      </w:r>
      <w:r>
        <w:rPr>
          <w:rFonts w:hint="eastAsia" w:ascii="仿宋_GB2312" w:hAnsi="宋体" w:eastAsia="仿宋_GB2312" w:cs="宋体"/>
          <w:color w:val="000000"/>
          <w:spacing w:val="0"/>
          <w:w w:val="100"/>
          <w:position w:val="0"/>
          <w:sz w:val="32"/>
          <w:szCs w:val="32"/>
          <w:u w:val="none"/>
          <w:shd w:val="clear" w:color="auto" w:fill="auto"/>
          <w:lang w:val="en-US" w:eastAsia="zh-CN" w:bidi="zh-TW"/>
        </w:rPr>
        <w:t>确保了绩效评价的客观、公正</w:t>
      </w:r>
      <w:r>
        <w:rPr>
          <w:rFonts w:hint="eastAsia" w:ascii="仿宋_GB2312" w:eastAsia="仿宋_GB2312" w:cs="宋体"/>
          <w:color w:val="000000"/>
          <w:spacing w:val="0"/>
          <w:w w:val="100"/>
          <w:position w:val="0"/>
          <w:sz w:val="32"/>
          <w:szCs w:val="32"/>
          <w:u w:val="none"/>
          <w:shd w:val="clear" w:color="auto" w:fill="auto"/>
          <w:lang w:val="en-US" w:eastAsia="zh-CN" w:bidi="zh-TW"/>
        </w:rPr>
        <w:t>。</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rPr>
          <w:rFonts w:hint="eastAsia" w:ascii="黑体" w:eastAsia="黑体"/>
        </w:rPr>
      </w:pPr>
      <w:r>
        <w:rPr>
          <w:rFonts w:hint="eastAsia" w:ascii="黑体" w:eastAsia="黑体"/>
        </w:rPr>
        <w:t>评价结论及分析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rPr>
          <w:rFonts w:hint="default" w:ascii="仿宋" w:hAnsi="仿宋" w:eastAsia="仿宋" w:cs="仿宋"/>
          <w:lang w:val="en-US" w:eastAsia="zh-CN"/>
        </w:rPr>
      </w:pPr>
      <w:r>
        <w:rPr>
          <w:rFonts w:hint="eastAsia" w:ascii="黑体" w:eastAsia="黑体"/>
          <w:lang w:val="en-US" w:eastAsia="zh-CN"/>
        </w:rPr>
        <w:t xml:space="preserve">    </w:t>
      </w:r>
      <w:r>
        <w:rPr>
          <w:rFonts w:hint="eastAsia" w:ascii="仿宋" w:hAnsi="仿宋" w:eastAsia="仿宋" w:cs="仿宋"/>
          <w:lang w:val="en-US" w:eastAsia="zh-CN"/>
        </w:rPr>
        <w:t>项目实施过程中，财务管理制度健全，资金使用规范，</w:t>
      </w:r>
      <w:r>
        <w:rPr>
          <w:rFonts w:hint="eastAsia" w:ascii="Times New Roman" w:hAnsi="Times New Roman" w:eastAsia="仿宋_GB2312" w:cs="Times New Roman"/>
        </w:rPr>
        <w:t>财务监督管理相关规定完整</w:t>
      </w:r>
      <w:r>
        <w:rPr>
          <w:rFonts w:hint="eastAsia" w:ascii="Times New Roman" w:hAnsi="Times New Roman" w:eastAsia="仿宋_GB2312" w:cs="Times New Roman"/>
          <w:lang w:eastAsia="zh-CN"/>
        </w:rPr>
        <w:t>；</w:t>
      </w:r>
      <w:r>
        <w:rPr>
          <w:rFonts w:hint="eastAsia" w:ascii="Times New Roman" w:hAnsi="Times New Roman" w:eastAsia="仿宋_GB2312" w:cs="Times New Roman"/>
        </w:rPr>
        <w:t>已制定专项资金管理制度或有适用于本项目的财务管理制度。项目管理制度健全，具备可操作性</w:t>
      </w:r>
      <w:r>
        <w:rPr>
          <w:rFonts w:hint="eastAsia" w:ascii="Times New Roman" w:hAnsi="Times New Roman" w:eastAsia="仿宋_GB2312" w:cs="Times New Roman"/>
          <w:lang w:eastAsia="zh-CN"/>
        </w:rPr>
        <w:t>；</w:t>
      </w:r>
      <w:r>
        <w:rPr>
          <w:rFonts w:hint="eastAsia" w:ascii="Times New Roman" w:hAnsi="Times New Roman" w:eastAsia="仿宋_GB2312" w:cs="Times New Roman"/>
        </w:rPr>
        <w:t>项目管理制度内容完整，覆盖明确的工作计划、工作方法、进度计划、人员配置及项目质量要求。</w:t>
      </w:r>
      <w:r>
        <w:rPr>
          <w:rFonts w:hint="eastAsia" w:ascii="仿宋_GB2312" w:eastAsia="仿宋_GB2312" w:cs="宋体"/>
          <w:color w:val="000000"/>
          <w:spacing w:val="0"/>
          <w:w w:val="100"/>
          <w:position w:val="0"/>
          <w:sz w:val="32"/>
          <w:szCs w:val="32"/>
          <w:u w:val="none"/>
          <w:shd w:val="clear" w:color="auto" w:fill="auto"/>
          <w:lang w:val="en-US" w:eastAsia="zh-CN" w:bidi="zh-TW"/>
        </w:rPr>
        <w:t>绩效评定</w:t>
      </w:r>
      <w:r>
        <w:rPr>
          <w:rFonts w:hint="eastAsia" w:ascii="仿宋_GB2312" w:hAnsi="宋体" w:eastAsia="仿宋_GB2312" w:cs="宋体"/>
          <w:color w:val="000000"/>
          <w:spacing w:val="0"/>
          <w:w w:val="100"/>
          <w:position w:val="0"/>
          <w:sz w:val="32"/>
          <w:szCs w:val="32"/>
          <w:u w:val="none"/>
          <w:shd w:val="clear" w:color="auto" w:fill="auto"/>
          <w:lang w:val="en-US" w:eastAsia="zh-CN" w:bidi="zh-TW"/>
        </w:rPr>
        <w:t>最终评定结果为优。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黑体" w:eastAsia="黑体"/>
        </w:rPr>
      </w:pPr>
      <w:r>
        <w:rPr>
          <w:rFonts w:hint="eastAsia" w:ascii="黑体" w:eastAsia="黑体"/>
        </w:rPr>
        <w:t>五、绩效评价指标分析</w:t>
      </w:r>
    </w:p>
    <w:p>
      <w:pPr>
        <w:pStyle w:val="2"/>
        <w:keepNext w:val="0"/>
        <w:keepLines w:val="0"/>
        <w:pageBreakBefore w:val="0"/>
        <w:widowControl w:val="0"/>
        <w:kinsoku/>
        <w:wordWrap/>
        <w:overflowPunct/>
        <w:topLinePunct w:val="0"/>
        <w:autoSpaceDE/>
        <w:autoSpaceDN/>
        <w:bidi w:val="0"/>
        <w:adjustRightInd/>
        <w:snapToGrid/>
        <w:spacing w:line="560" w:lineRule="exact"/>
        <w:ind w:left="111" w:right="125" w:firstLine="639"/>
        <w:rPr>
          <w:rFonts w:hint="eastAsia" w:ascii="Times New Roman" w:hAnsi="Times New Roman" w:eastAsia="仿宋_GB2312" w:cs="Times New Roman"/>
        </w:rPr>
      </w:pPr>
      <w:r>
        <w:rPr>
          <w:rFonts w:hint="eastAsia" w:ascii="Times New Roman" w:hAnsi="Times New Roman" w:eastAsia="仿宋_GB2312" w:cs="Times New Roman"/>
        </w:rPr>
        <w:t>（一）项目决策情况。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rPr>
      </w:pPr>
      <w:r>
        <w:rPr>
          <w:rFonts w:hint="eastAsia" w:ascii="仿宋" w:hAnsi="仿宋" w:eastAsia="仿宋" w:cs="仿宋"/>
          <w:sz w:val="32"/>
          <w:szCs w:val="40"/>
        </w:rPr>
        <w:t>项目按照天水市财政局审批，在</w:t>
      </w:r>
      <w:r>
        <w:rPr>
          <w:rFonts w:hint="eastAsia" w:ascii="仿宋" w:hAnsi="仿宋" w:eastAsia="仿宋" w:cs="仿宋"/>
          <w:sz w:val="32"/>
          <w:szCs w:val="40"/>
          <w:lang w:val="en-US" w:eastAsia="zh-CN"/>
        </w:rPr>
        <w:t>保证</w:t>
      </w:r>
      <w:r>
        <w:rPr>
          <w:rFonts w:hint="eastAsia" w:ascii="仿宋" w:hAnsi="仿宋" w:eastAsia="仿宋" w:cs="仿宋"/>
          <w:sz w:val="32"/>
          <w:szCs w:val="40"/>
        </w:rPr>
        <w:t>质量的基础上，严格控制预算，节约项目成本。</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25" w:rightChars="0" w:firstLine="640" w:firstLineChars="200"/>
        <w:rPr>
          <w:rFonts w:hint="eastAsia" w:ascii="Times New Roman" w:hAnsi="Times New Roman" w:eastAsia="仿宋_GB2312" w:cs="Times New Roman"/>
        </w:rPr>
      </w:pPr>
      <w:r>
        <w:rPr>
          <w:rFonts w:hint="eastAsia" w:ascii="Times New Roman" w:hAnsi="Times New Roman" w:eastAsia="仿宋_GB2312" w:cs="Times New Roman"/>
          <w:lang w:eastAsia="zh-CN"/>
        </w:rPr>
        <w:t>（二）</w:t>
      </w:r>
      <w:r>
        <w:rPr>
          <w:rFonts w:hint="eastAsia" w:ascii="Times New Roman" w:hAnsi="Times New Roman" w:eastAsia="仿宋_GB2312" w:cs="Times New Roman"/>
        </w:rPr>
        <w:t>项目过程情况。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cs="仿宋"/>
          <w:sz w:val="32"/>
          <w:szCs w:val="40"/>
        </w:rPr>
      </w:pPr>
      <w:r>
        <w:rPr>
          <w:rFonts w:hint="eastAsia" w:ascii="仿宋" w:hAnsi="仿宋" w:eastAsia="仿宋" w:cs="仿宋"/>
          <w:sz w:val="32"/>
          <w:szCs w:val="40"/>
          <w:lang w:val="en-US" w:eastAsia="zh-CN"/>
        </w:rPr>
        <w:t>单位能够</w:t>
      </w:r>
      <w:r>
        <w:rPr>
          <w:rFonts w:hint="eastAsia" w:ascii="仿宋" w:hAnsi="仿宋" w:eastAsia="仿宋" w:cs="仿宋"/>
          <w:sz w:val="32"/>
          <w:szCs w:val="40"/>
        </w:rPr>
        <w:t>严格按照财务制度规范管理项目经费，遵照专款专用原则，</w:t>
      </w:r>
      <w:r>
        <w:rPr>
          <w:rFonts w:hint="eastAsia" w:ascii="仿宋" w:hAnsi="仿宋" w:eastAsia="仿宋" w:cs="仿宋"/>
          <w:sz w:val="32"/>
          <w:szCs w:val="40"/>
          <w:lang w:val="en-US" w:eastAsia="zh-CN"/>
        </w:rPr>
        <w:t>主管部门</w:t>
      </w:r>
      <w:r>
        <w:rPr>
          <w:rFonts w:hint="eastAsia" w:ascii="仿宋" w:hAnsi="仿宋" w:eastAsia="仿宋" w:cs="仿宋"/>
          <w:sz w:val="32"/>
          <w:szCs w:val="40"/>
        </w:rPr>
        <w:t>对项目的实施定期或不定期的进行检查和监督，对</w:t>
      </w:r>
      <w:r>
        <w:rPr>
          <w:rFonts w:hint="eastAsia" w:ascii="仿宋" w:hAnsi="仿宋" w:eastAsia="仿宋" w:cs="仿宋"/>
          <w:sz w:val="32"/>
          <w:szCs w:val="40"/>
          <w:lang w:val="en-US" w:eastAsia="zh-CN"/>
        </w:rPr>
        <w:t>专项</w:t>
      </w:r>
      <w:r>
        <w:rPr>
          <w:rFonts w:hint="eastAsia" w:ascii="仿宋" w:hAnsi="仿宋" w:eastAsia="仿宋" w:cs="仿宋"/>
          <w:sz w:val="32"/>
          <w:szCs w:val="40"/>
        </w:rPr>
        <w:t>经费按计划做到充分合理使用。</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125" w:firstLine="640" w:firstLineChars="200"/>
        <w:rPr>
          <w:rFonts w:hint="eastAsia" w:ascii="Times New Roman" w:hAnsi="Times New Roman" w:eastAsia="仿宋_GB2312" w:cs="Times New Roman"/>
        </w:rPr>
      </w:pPr>
      <w:r>
        <w:rPr>
          <w:rFonts w:hint="eastAsia" w:ascii="Times New Roman" w:hAnsi="Times New Roman" w:eastAsia="仿宋_GB2312" w:cs="Times New Roman"/>
        </w:rPr>
        <w:t>项目产出情况。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rPr>
          <w:rFonts w:hint="eastAsia" w:ascii="Times New Roman" w:hAnsi="Times New Roman" w:eastAsia="仿宋_GB2312" w:cs="Times New Roman"/>
        </w:rPr>
      </w:pPr>
      <w:r>
        <w:rPr>
          <w:rFonts w:hint="eastAsia" w:ascii="Times New Roman" w:hAnsi="仿宋_GB2312" w:eastAsia="仿宋_GB2312"/>
          <w:sz w:val="32"/>
          <w:szCs w:val="32"/>
          <w:lang w:val="en-US" w:eastAsia="zh-CN"/>
        </w:rPr>
        <w:t>2022年该项目资金预算数为40万元，实际下拨资金20万元。预期目标是将项目资金主要用于2022年全市境内发现墓葬的抢救性发掘，开展文物资源的考古调查活动，做好发现文物的研究和保护工作。但受疫情影响，2022年业务工作无法正常开展，项目资金实际用于办公室装修、办公设备和办公家具用具购置等方面的支出，共支出14.8529万元，执行率74.26%。</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25" w:rightChars="0" w:firstLine="640" w:firstLineChars="200"/>
        <w:rPr>
          <w:rFonts w:hint="eastAsia" w:ascii="Times New Roman" w:hAnsi="Times New Roman" w:eastAsia="仿宋_GB2312" w:cs="Times New Roman"/>
        </w:rPr>
      </w:pPr>
      <w:r>
        <w:rPr>
          <w:rFonts w:hint="eastAsia" w:ascii="Times New Roman" w:hAnsi="Times New Roman" w:eastAsia="仿宋_GB2312" w:cs="Times New Roman"/>
          <w:lang w:eastAsia="zh-CN"/>
        </w:rPr>
        <w:t>（四）</w:t>
      </w:r>
      <w:r>
        <w:rPr>
          <w:rFonts w:hint="eastAsia" w:ascii="Times New Roman" w:hAnsi="Times New Roman" w:eastAsia="仿宋_GB2312" w:cs="Times New Roman"/>
        </w:rPr>
        <w:t>项目效益情况。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文物保护工作是一项长期而艰巨的任务，加大对天水境内文物古迹的保护力度，对天水市文化和经济的发展都有较大的推动和促进作用。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黑体" w:eastAsia="黑体"/>
        </w:rPr>
      </w:pPr>
      <w:r>
        <w:rPr>
          <w:rFonts w:hint="eastAsia" w:ascii="黑体" w:eastAsia="黑体"/>
          <w:lang w:eastAsia="zh-CN"/>
        </w:rPr>
        <w:t>六、</w:t>
      </w:r>
      <w:r>
        <w:rPr>
          <w:rFonts w:hint="eastAsia" w:ascii="黑体" w:eastAsia="黑体"/>
        </w:rPr>
        <w:t>项目主要经验及做法</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rPr>
          <w:rFonts w:hint="default"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项目实施过程中，严格执行相关规定，征集程序规范，并严格按照资金使用的相关管理要求执行，严格资金使用范围，确保项目资金专款专用。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黑体" w:eastAsia="黑体"/>
        </w:rPr>
      </w:pPr>
      <w:r>
        <w:rPr>
          <w:rFonts w:hint="eastAsia" w:ascii="黑体" w:eastAsia="黑体"/>
          <w:lang w:eastAsia="zh-CN"/>
        </w:rPr>
        <w:t>七、</w:t>
      </w:r>
      <w:r>
        <w:rPr>
          <w:rFonts w:hint="eastAsia" w:ascii="黑体" w:eastAsia="黑体"/>
        </w:rPr>
        <w:t>存在的问题及原因分析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rPr>
      </w:pPr>
      <w:bookmarkStart w:id="0" w:name="_GoBack"/>
      <w:bookmarkEnd w:id="0"/>
      <w:r>
        <w:rPr>
          <w:rFonts w:hint="eastAsia" w:ascii="Times New Roman" w:hAnsi="仿宋_GB2312" w:eastAsia="仿宋_GB2312"/>
          <w:sz w:val="32"/>
          <w:szCs w:val="32"/>
          <w:lang w:val="en-US" w:eastAsia="zh-CN"/>
        </w:rPr>
        <w:t>受疫情影响，2022年业务工作无法正常开展，项目资金实际用于办公室装修、办公设备和办公家具用具购置等方面的支出。</w:t>
      </w:r>
    </w:p>
    <w:p>
      <w:pPr>
        <w:pStyle w:val="2"/>
        <w:keepNext w:val="0"/>
        <w:keepLines w:val="0"/>
        <w:pageBreakBefore w:val="0"/>
        <w:widowControl w:val="0"/>
        <w:kinsoku/>
        <w:wordWrap/>
        <w:overflowPunct/>
        <w:topLinePunct w:val="0"/>
        <w:autoSpaceDE/>
        <w:autoSpaceDN/>
        <w:bidi w:val="0"/>
        <w:adjustRightInd/>
        <w:snapToGrid/>
        <w:spacing w:line="560" w:lineRule="exact"/>
        <w:ind w:left="753"/>
        <w:rPr>
          <w:rFonts w:ascii="黑体" w:eastAsia="黑体"/>
        </w:rPr>
      </w:pPr>
      <w:r>
        <w:rPr>
          <w:rFonts w:hint="eastAsia" w:ascii="黑体" w:eastAsia="黑体"/>
        </w:rPr>
        <w:t>八、有关建议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1.严格执行项目资金财务管理制度。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2.抓紧项目实施进度。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3.加强沟通，定期检查项目关键节点。</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111" w:right="125" w:firstLine="639"/>
        <w:rPr>
          <w:rFonts w:hint="eastAsia" w:ascii="黑体" w:hAnsi="黑体" w:eastAsia="黑体" w:cs="Times New Roman"/>
        </w:rPr>
      </w:pPr>
      <w:r>
        <w:rPr>
          <w:rFonts w:hint="eastAsia" w:ascii="黑体" w:hAnsi="黑体" w:eastAsia="黑体" w:cs="Times New Roman"/>
        </w:rPr>
        <w:t>需要说明的问题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50" w:leftChars="0" w:right="125" w:rightChars="0"/>
        <w:rPr>
          <w:rFonts w:hint="eastAsia" w:ascii="仿宋" w:hAnsi="仿宋" w:eastAsia="仿宋" w:cs="仿宋"/>
          <w:lang w:eastAsia="zh-CN"/>
        </w:rPr>
      </w:pPr>
      <w:r>
        <w:rPr>
          <w:rFonts w:hint="eastAsia" w:ascii="仿宋" w:hAnsi="仿宋" w:eastAsia="仿宋" w:cs="仿宋"/>
          <w:lang w:eastAsia="zh-CN"/>
        </w:rPr>
        <w:t>无</w:t>
      </w:r>
    </w:p>
    <w:p>
      <w:pPr>
        <w:keepNext w:val="0"/>
        <w:keepLines w:val="0"/>
        <w:pageBreakBefore w:val="0"/>
        <w:widowControl w:val="0"/>
        <w:kinsoku/>
        <w:wordWrap/>
        <w:overflowPunct/>
        <w:topLinePunct w:val="0"/>
        <w:autoSpaceDE/>
        <w:autoSpaceDN/>
        <w:bidi w:val="0"/>
        <w:adjustRightInd/>
        <w:snapToGrid/>
        <w:spacing w:line="56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723576"/>
      <w:docPartObj>
        <w:docPartGallery w:val="autotext"/>
      </w:docPartObj>
    </w:sdtPr>
    <w:sdtContent>
      <w:p>
        <w:pPr>
          <w:pStyle w:val="3"/>
          <w:jc w:val="center"/>
        </w:pPr>
        <w:r>
          <w:fldChar w:fldCharType="begin"/>
        </w:r>
        <w:r>
          <w:instrText xml:space="preserve">PAGE   \* MERGEFORMAT</w:instrText>
        </w:r>
        <w:r>
          <w:fldChar w:fldCharType="separate"/>
        </w:r>
        <w:r>
          <w:rPr>
            <w:lang w:val="zh-CN"/>
          </w:rPr>
          <w:t>12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9920F"/>
    <w:multiLevelType w:val="singleLevel"/>
    <w:tmpl w:val="84D9920F"/>
    <w:lvl w:ilvl="0" w:tentative="0">
      <w:start w:val="4"/>
      <w:numFmt w:val="chineseCounting"/>
      <w:suff w:val="nothing"/>
      <w:lvlText w:val="%1、"/>
      <w:lvlJc w:val="left"/>
      <w:rPr>
        <w:rFonts w:hint="eastAsia"/>
      </w:rPr>
    </w:lvl>
  </w:abstractNum>
  <w:abstractNum w:abstractNumId="1">
    <w:nsid w:val="9BF3EA6D"/>
    <w:multiLevelType w:val="singleLevel"/>
    <w:tmpl w:val="9BF3EA6D"/>
    <w:lvl w:ilvl="0" w:tentative="0">
      <w:start w:val="2"/>
      <w:numFmt w:val="chineseCounting"/>
      <w:suff w:val="nothing"/>
      <w:lvlText w:val="（%1）"/>
      <w:lvlJc w:val="left"/>
      <w:rPr>
        <w:rFonts w:hint="eastAsia"/>
      </w:rPr>
    </w:lvl>
  </w:abstractNum>
  <w:abstractNum w:abstractNumId="2">
    <w:nsid w:val="B2E2C143"/>
    <w:multiLevelType w:val="singleLevel"/>
    <w:tmpl w:val="B2E2C143"/>
    <w:lvl w:ilvl="0" w:tentative="0">
      <w:start w:val="9"/>
      <w:numFmt w:val="chineseCounting"/>
      <w:suff w:val="nothing"/>
      <w:lvlText w:val="%1、"/>
      <w:lvlJc w:val="left"/>
      <w:rPr>
        <w:rFonts w:hint="eastAsia"/>
      </w:rPr>
    </w:lvl>
  </w:abstractNum>
  <w:abstractNum w:abstractNumId="3">
    <w:nsid w:val="3EBE82F2"/>
    <w:multiLevelType w:val="singleLevel"/>
    <w:tmpl w:val="3EBE82F2"/>
    <w:lvl w:ilvl="0" w:tentative="0">
      <w:start w:val="4"/>
      <w:numFmt w:val="chineseCounting"/>
      <w:suff w:val="nothing"/>
      <w:lvlText w:val="（%1）"/>
      <w:lvlJc w:val="left"/>
      <w:rPr>
        <w:rFonts w:hint="eastAsia"/>
      </w:rPr>
    </w:lvl>
  </w:abstractNum>
  <w:abstractNum w:abstractNumId="4">
    <w:nsid w:val="785A02C0"/>
    <w:multiLevelType w:val="singleLevel"/>
    <w:tmpl w:val="785A02C0"/>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Y2E5YWIxODE1ZjczMWY5NGVhYzdiZmViNzZhYjMifQ=="/>
  </w:docVars>
  <w:rsids>
    <w:rsidRoot w:val="5D0428C4"/>
    <w:rsid w:val="006E4A62"/>
    <w:rsid w:val="0187402D"/>
    <w:rsid w:val="018C100A"/>
    <w:rsid w:val="01A00C4B"/>
    <w:rsid w:val="02377801"/>
    <w:rsid w:val="030B47EA"/>
    <w:rsid w:val="051C4A8C"/>
    <w:rsid w:val="05BE3D95"/>
    <w:rsid w:val="05E80E12"/>
    <w:rsid w:val="07027CB2"/>
    <w:rsid w:val="07C52368"/>
    <w:rsid w:val="07E2660E"/>
    <w:rsid w:val="0A175EBA"/>
    <w:rsid w:val="0B372620"/>
    <w:rsid w:val="0B7300B8"/>
    <w:rsid w:val="0BBA4FFF"/>
    <w:rsid w:val="0BCA3494"/>
    <w:rsid w:val="0C21763E"/>
    <w:rsid w:val="0C2469D3"/>
    <w:rsid w:val="0C4843B9"/>
    <w:rsid w:val="0C9D2956"/>
    <w:rsid w:val="0F00541F"/>
    <w:rsid w:val="118714DF"/>
    <w:rsid w:val="124F46F3"/>
    <w:rsid w:val="14C8253B"/>
    <w:rsid w:val="15D1541F"/>
    <w:rsid w:val="16841624"/>
    <w:rsid w:val="176F3141"/>
    <w:rsid w:val="17A56B63"/>
    <w:rsid w:val="189224F2"/>
    <w:rsid w:val="18934C0E"/>
    <w:rsid w:val="19DC4392"/>
    <w:rsid w:val="1A1A55E6"/>
    <w:rsid w:val="1ABF618E"/>
    <w:rsid w:val="1AFA71C6"/>
    <w:rsid w:val="1B811695"/>
    <w:rsid w:val="1D7A5138"/>
    <w:rsid w:val="1D7E40DE"/>
    <w:rsid w:val="1EBA7398"/>
    <w:rsid w:val="1ED41ADC"/>
    <w:rsid w:val="1FAF4A23"/>
    <w:rsid w:val="1FE53289"/>
    <w:rsid w:val="20A420AE"/>
    <w:rsid w:val="212E7BC9"/>
    <w:rsid w:val="21A436CB"/>
    <w:rsid w:val="21A67760"/>
    <w:rsid w:val="221C2118"/>
    <w:rsid w:val="229972C4"/>
    <w:rsid w:val="25897AC4"/>
    <w:rsid w:val="25F0369F"/>
    <w:rsid w:val="266D4CF0"/>
    <w:rsid w:val="27391076"/>
    <w:rsid w:val="27E45486"/>
    <w:rsid w:val="287C746C"/>
    <w:rsid w:val="28E219C5"/>
    <w:rsid w:val="29BA649E"/>
    <w:rsid w:val="2B5841C1"/>
    <w:rsid w:val="2C0B1233"/>
    <w:rsid w:val="2DC07DFB"/>
    <w:rsid w:val="2DEA551B"/>
    <w:rsid w:val="2DFB52D7"/>
    <w:rsid w:val="2F7610B9"/>
    <w:rsid w:val="30360C34"/>
    <w:rsid w:val="30D46D44"/>
    <w:rsid w:val="31021BCB"/>
    <w:rsid w:val="311A1F18"/>
    <w:rsid w:val="31EC3F33"/>
    <w:rsid w:val="33977850"/>
    <w:rsid w:val="33E51885"/>
    <w:rsid w:val="33FE78CF"/>
    <w:rsid w:val="34D42788"/>
    <w:rsid w:val="36525CB0"/>
    <w:rsid w:val="368A766D"/>
    <w:rsid w:val="36FB00F6"/>
    <w:rsid w:val="373B6744"/>
    <w:rsid w:val="38303DCF"/>
    <w:rsid w:val="387243E8"/>
    <w:rsid w:val="39243934"/>
    <w:rsid w:val="39616C8A"/>
    <w:rsid w:val="3C4F6F1A"/>
    <w:rsid w:val="3CF33D49"/>
    <w:rsid w:val="3DCF2D49"/>
    <w:rsid w:val="3F4F7231"/>
    <w:rsid w:val="3FCC6988"/>
    <w:rsid w:val="408353E4"/>
    <w:rsid w:val="40CB6D8B"/>
    <w:rsid w:val="428471F1"/>
    <w:rsid w:val="43857949"/>
    <w:rsid w:val="4447497A"/>
    <w:rsid w:val="45AD4CB1"/>
    <w:rsid w:val="46D71FE6"/>
    <w:rsid w:val="47FD72DB"/>
    <w:rsid w:val="488D04EA"/>
    <w:rsid w:val="4AF13892"/>
    <w:rsid w:val="4B182BCD"/>
    <w:rsid w:val="4B3F63AB"/>
    <w:rsid w:val="4B9761E7"/>
    <w:rsid w:val="4C251A45"/>
    <w:rsid w:val="4C827BB7"/>
    <w:rsid w:val="4D491763"/>
    <w:rsid w:val="4DE35714"/>
    <w:rsid w:val="4ED00F44"/>
    <w:rsid w:val="50836D3A"/>
    <w:rsid w:val="50CA2BBB"/>
    <w:rsid w:val="51F76E9E"/>
    <w:rsid w:val="52E837CD"/>
    <w:rsid w:val="55FF50B5"/>
    <w:rsid w:val="56705FB3"/>
    <w:rsid w:val="570B7A8A"/>
    <w:rsid w:val="57B819BF"/>
    <w:rsid w:val="57CD4D3F"/>
    <w:rsid w:val="588B0E82"/>
    <w:rsid w:val="59407EBE"/>
    <w:rsid w:val="5A44578C"/>
    <w:rsid w:val="5A7A7400"/>
    <w:rsid w:val="5AFF6DB6"/>
    <w:rsid w:val="5C3B19D9"/>
    <w:rsid w:val="5D0428C4"/>
    <w:rsid w:val="5D9702C9"/>
    <w:rsid w:val="5DFE20F6"/>
    <w:rsid w:val="5E443FAD"/>
    <w:rsid w:val="61333A11"/>
    <w:rsid w:val="61695AD8"/>
    <w:rsid w:val="61AF3E33"/>
    <w:rsid w:val="62856AEC"/>
    <w:rsid w:val="632E0D88"/>
    <w:rsid w:val="63332842"/>
    <w:rsid w:val="647B034D"/>
    <w:rsid w:val="659E0E59"/>
    <w:rsid w:val="66A04738"/>
    <w:rsid w:val="671E1113"/>
    <w:rsid w:val="67530DBD"/>
    <w:rsid w:val="68C53F3C"/>
    <w:rsid w:val="69026F3E"/>
    <w:rsid w:val="6AFF300A"/>
    <w:rsid w:val="6B0E00BA"/>
    <w:rsid w:val="6DE74955"/>
    <w:rsid w:val="6EB02F99"/>
    <w:rsid w:val="702459EC"/>
    <w:rsid w:val="71D46F9E"/>
    <w:rsid w:val="72F35B4A"/>
    <w:rsid w:val="733817AF"/>
    <w:rsid w:val="73F531FC"/>
    <w:rsid w:val="755C79D6"/>
    <w:rsid w:val="76151FED"/>
    <w:rsid w:val="766A1C7F"/>
    <w:rsid w:val="76E77774"/>
    <w:rsid w:val="78000AED"/>
    <w:rsid w:val="784A7FBA"/>
    <w:rsid w:val="79132AA2"/>
    <w:rsid w:val="7A252A8D"/>
    <w:rsid w:val="7A5275FA"/>
    <w:rsid w:val="7B590514"/>
    <w:rsid w:val="7B7A0BB6"/>
    <w:rsid w:val="7B892BA7"/>
    <w:rsid w:val="7BFE17E7"/>
    <w:rsid w:val="7C590686"/>
    <w:rsid w:val="7EE3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FollowedHyperlink"/>
    <w:basedOn w:val="5"/>
    <w:qFormat/>
    <w:uiPriority w:val="0"/>
    <w:rPr>
      <w:rFonts w:hint="eastAsia" w:ascii="宋体" w:hAnsi="宋体" w:eastAsia="宋体" w:cs="宋体"/>
      <w:color w:val="003366"/>
      <w:sz w:val="18"/>
      <w:szCs w:val="18"/>
      <w:u w:val="none"/>
    </w:rPr>
  </w:style>
  <w:style w:type="character" w:styleId="7">
    <w:name w:val="Hyperlink"/>
    <w:basedOn w:val="5"/>
    <w:qFormat/>
    <w:uiPriority w:val="0"/>
    <w:rPr>
      <w:rFonts w:hint="eastAsia" w:ascii="宋体" w:hAnsi="宋体" w:eastAsia="宋体" w:cs="宋体"/>
      <w:color w:val="000000"/>
      <w:u w:val="none"/>
    </w:rPr>
  </w:style>
  <w:style w:type="paragraph" w:customStyle="1" w:styleId="8">
    <w:name w:val="Body text|1"/>
    <w:basedOn w:val="1"/>
    <w:qFormat/>
    <w:uiPriority w:val="0"/>
    <w:pPr>
      <w:widowControl w:val="0"/>
      <w:shd w:val="clear" w:color="auto" w:fill="auto"/>
      <w:spacing w:line="430"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Body text|2"/>
    <w:basedOn w:val="1"/>
    <w:qFormat/>
    <w:uiPriority w:val="0"/>
    <w:pPr>
      <w:widowControl w:val="0"/>
      <w:shd w:val="clear" w:color="auto" w:fill="auto"/>
      <w:spacing w:line="567" w:lineRule="exact"/>
      <w:ind w:firstLine="70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3102</Words>
  <Characters>3230</Characters>
  <Lines>0</Lines>
  <Paragraphs>0</Paragraphs>
  <TotalTime>40</TotalTime>
  <ScaleCrop>false</ScaleCrop>
  <LinksUpToDate>false</LinksUpToDate>
  <CharactersWithSpaces>3353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2022-07-01T09:18:00Z</dcterms:created>
  <dc:creator>重振钟华馨</dc:creator>
  <cp:lastModifiedBy>lwt1120</cp:lastModifiedBy>
  <cp:lastPrinted>2023-08-31T02:46:28Z</cp:lastPrinted>
  <dcterms:modified xsi:type="dcterms:W3CDTF">2023-08-31T03:22:03Z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0E5EDAC10AAE4AC9AB24DE622B11F691_13</vt:lpwstr>
  </property>
</Properties>
</file>