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446" w:firstLineChars="200"/>
        <w:rPr>
          <w:b/>
          <w:bCs/>
          <w:sz w:val="72"/>
          <w:szCs w:val="72"/>
        </w:rPr>
      </w:pPr>
    </w:p>
    <w:p>
      <w:pPr>
        <w:ind w:firstLine="1446" w:firstLineChars="200"/>
        <w:rPr>
          <w:b/>
          <w:bCs/>
          <w:sz w:val="72"/>
          <w:szCs w:val="72"/>
        </w:rPr>
      </w:pPr>
    </w:p>
    <w:p>
      <w:pPr>
        <w:ind w:firstLine="1446" w:firstLineChars="200"/>
        <w:rPr>
          <w:b/>
          <w:bCs/>
          <w:sz w:val="72"/>
          <w:szCs w:val="72"/>
        </w:rPr>
      </w:pPr>
    </w:p>
    <w:p>
      <w:pPr>
        <w:ind w:firstLine="1446" w:firstLineChars="200"/>
        <w:rPr>
          <w:b/>
          <w:bCs/>
          <w:sz w:val="72"/>
          <w:szCs w:val="72"/>
        </w:rPr>
      </w:pPr>
    </w:p>
    <w:p>
      <w:pPr>
        <w:ind w:firstLine="1446" w:firstLineChars="200"/>
        <w:rPr>
          <w:b/>
          <w:bCs/>
          <w:sz w:val="72"/>
          <w:szCs w:val="72"/>
        </w:rPr>
      </w:pPr>
    </w:p>
    <w:p>
      <w:pPr>
        <w:jc w:val="center"/>
        <w:rPr>
          <w:rFonts w:ascii="黑体" w:hAnsi="黑体" w:eastAsia="黑体" w:cs="黑体"/>
          <w:sz w:val="52"/>
          <w:szCs w:val="52"/>
        </w:rPr>
      </w:pPr>
      <w:r>
        <w:rPr>
          <w:rFonts w:hint="eastAsia" w:ascii="黑体" w:hAnsi="黑体" w:eastAsia="黑体" w:cs="黑体"/>
          <w:sz w:val="52"/>
          <w:szCs w:val="52"/>
        </w:rPr>
        <w:t>天水市电子保函（保险电子保单）</w:t>
      </w:r>
    </w:p>
    <w:p>
      <w:pPr>
        <w:jc w:val="center"/>
        <w:rPr>
          <w:rFonts w:ascii="黑体" w:hAnsi="黑体" w:eastAsia="黑体" w:cs="黑体"/>
          <w:sz w:val="48"/>
          <w:szCs w:val="48"/>
        </w:rPr>
      </w:pPr>
      <w:r>
        <w:rPr>
          <w:rFonts w:hint="eastAsia" w:ascii="黑体" w:hAnsi="黑体" w:eastAsia="黑体" w:cs="黑体"/>
          <w:sz w:val="48"/>
          <w:szCs w:val="48"/>
        </w:rPr>
        <w:t>投保人（投标人）操作指南</w:t>
      </w:r>
    </w:p>
    <w:p>
      <w:pPr>
        <w:jc w:val="center"/>
        <w:rPr>
          <w:rFonts w:ascii="黑体" w:hAnsi="黑体" w:eastAsia="黑体" w:cs="黑体"/>
          <w:sz w:val="48"/>
          <w:szCs w:val="48"/>
        </w:rPr>
      </w:pPr>
    </w:p>
    <w:p>
      <w:pPr>
        <w:jc w:val="center"/>
        <w:rPr>
          <w:rFonts w:ascii="黑体" w:hAnsi="黑体" w:eastAsia="黑体" w:cs="黑体"/>
          <w:sz w:val="48"/>
          <w:szCs w:val="48"/>
        </w:rPr>
      </w:pPr>
    </w:p>
    <w:p>
      <w:pPr>
        <w:jc w:val="center"/>
        <w:rPr>
          <w:rFonts w:ascii="黑体" w:hAnsi="黑体" w:eastAsia="黑体" w:cs="黑体"/>
          <w:sz w:val="48"/>
          <w:szCs w:val="48"/>
        </w:rPr>
      </w:pPr>
    </w:p>
    <w:p>
      <w:pPr>
        <w:jc w:val="center"/>
        <w:rPr>
          <w:rFonts w:ascii="黑体" w:hAnsi="黑体" w:eastAsia="黑体" w:cs="黑体"/>
          <w:sz w:val="48"/>
          <w:szCs w:val="48"/>
        </w:rPr>
      </w:pPr>
    </w:p>
    <w:p>
      <w:pPr>
        <w:jc w:val="center"/>
        <w:rPr>
          <w:rFonts w:ascii="黑体" w:hAnsi="黑体" w:eastAsia="黑体" w:cs="黑体"/>
          <w:sz w:val="48"/>
          <w:szCs w:val="48"/>
        </w:rPr>
      </w:pPr>
    </w:p>
    <w:p>
      <w:pPr>
        <w:jc w:val="center"/>
        <w:rPr>
          <w:rFonts w:ascii="黑体" w:hAnsi="黑体" w:eastAsia="黑体" w:cs="黑体"/>
          <w:sz w:val="48"/>
          <w:szCs w:val="48"/>
        </w:rPr>
      </w:pPr>
    </w:p>
    <w:p>
      <w:pPr>
        <w:jc w:val="center"/>
        <w:rPr>
          <w:rFonts w:ascii="黑体" w:hAnsi="黑体" w:eastAsia="黑体" w:cs="黑体"/>
          <w:sz w:val="48"/>
          <w:szCs w:val="48"/>
        </w:rPr>
      </w:pPr>
    </w:p>
    <w:p>
      <w:pPr>
        <w:jc w:val="center"/>
        <w:rPr>
          <w:rFonts w:ascii="黑体" w:hAnsi="黑体" w:eastAsia="黑体" w:cs="黑体"/>
          <w:sz w:val="48"/>
          <w:szCs w:val="48"/>
        </w:rPr>
      </w:pPr>
    </w:p>
    <w:p>
      <w:pPr>
        <w:jc w:val="center"/>
        <w:rPr>
          <w:rFonts w:ascii="黑体" w:hAnsi="黑体" w:eastAsia="黑体" w:cs="黑体"/>
          <w:sz w:val="48"/>
          <w:szCs w:val="48"/>
        </w:rPr>
      </w:pPr>
    </w:p>
    <w:p>
      <w:pPr>
        <w:jc w:val="center"/>
        <w:rPr>
          <w:rFonts w:ascii="黑体" w:hAnsi="黑体" w:eastAsia="黑体" w:cs="黑体"/>
          <w:sz w:val="48"/>
          <w:szCs w:val="48"/>
        </w:rPr>
      </w:pPr>
    </w:p>
    <w:p>
      <w:pPr>
        <w:rPr>
          <w:rFonts w:ascii="黑体" w:hAnsi="黑体" w:eastAsia="黑体" w:cs="黑体"/>
          <w:sz w:val="48"/>
          <w:szCs w:val="48"/>
        </w:rPr>
      </w:pPr>
    </w:p>
    <w:p>
      <w:pPr>
        <w:rPr>
          <w:rFonts w:ascii="黑体" w:hAnsi="黑体" w:eastAsia="黑体" w:cs="黑体"/>
          <w:sz w:val="48"/>
          <w:szCs w:val="48"/>
        </w:rPr>
      </w:pPr>
      <w:r>
        <w:rPr>
          <w:sz w:val="30"/>
        </w:rPr>
        <mc:AlternateContent>
          <mc:Choice Requires="wps">
            <w:drawing>
              <wp:anchor distT="0" distB="0" distL="114300" distR="114300" simplePos="0" relativeHeight="251666432" behindDoc="0" locked="0" layoutInCell="1" allowOverlap="1">
                <wp:simplePos x="0" y="0"/>
                <wp:positionH relativeFrom="column">
                  <wp:posOffset>1356995</wp:posOffset>
                </wp:positionH>
                <wp:positionV relativeFrom="paragraph">
                  <wp:posOffset>140970</wp:posOffset>
                </wp:positionV>
                <wp:extent cx="2582545" cy="355600"/>
                <wp:effectExtent l="6350" t="6350" r="27305" b="19050"/>
                <wp:wrapNone/>
                <wp:docPr id="37" name="圆角矩形 1"/>
                <wp:cNvGraphicFramePr/>
                <a:graphic xmlns:a="http://schemas.openxmlformats.org/drawingml/2006/main">
                  <a:graphicData uri="http://schemas.microsoft.com/office/word/2010/wordprocessingShape">
                    <wps:wsp>
                      <wps:cNvSpPr/>
                      <wps:spPr>
                        <a:xfrm>
                          <a:off x="0" y="0"/>
                          <a:ext cx="2582545" cy="355600"/>
                        </a:xfrm>
                        <a:prstGeom prst="roundRect">
                          <a:avLst/>
                        </a:prstGeom>
                      </wps:spPr>
                      <wps:style>
                        <a:lnRef idx="2">
                          <a:schemeClr val="dk1"/>
                        </a:lnRef>
                        <a:fillRef idx="1">
                          <a:schemeClr val="lt1"/>
                        </a:fillRef>
                        <a:effectRef idx="0">
                          <a:schemeClr val="dk1"/>
                        </a:effectRef>
                        <a:fontRef idx="minor">
                          <a:schemeClr val="dk1"/>
                        </a:fontRef>
                      </wps:style>
                      <wps:txbx>
                        <w:txbxContent>
                          <w:p>
                            <w:pPr>
                              <w:jc w:val="center"/>
                            </w:pPr>
                            <w:r>
                              <w:t>版本号：GSTS20201208V1.0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06.85pt;margin-top:11.1pt;height:28pt;width:203.35pt;z-index:251666432;v-text-anchor:middle;mso-width-relative:page;mso-height-relative:page;" fillcolor="#FFFFFF [3201]" filled="t" stroked="t" coordsize="21600,21600" arcsize="0.166666666666667" o:gfxdata="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70BXbtcAAAAJAQAADwAA&#10;AAAAAAABACAAAAAiAAAAZHJzL2Rvd25yZXYueG1sUEsBAhQAFAAAAAgAh07iQMOXsN6JAgAACwUA&#10;AA4AAAAAAAAAAQAgAAAAJgEAAGRycy9lMm9Eb2MueG1sUEsFBgAAAAAGAAYAWQEAACEGAAAAAA==&#10;">
                <v:fill on="t" focussize="0,0"/>
                <v:stroke weight="1pt" color="#000000 [3200]" miterlimit="8" joinstyle="miter"/>
                <v:imagedata o:title=""/>
                <o:lock v:ext="edit" aspectratio="f"/>
                <v:textbox>
                  <w:txbxContent>
                    <w:p>
                      <w:pPr>
                        <w:jc w:val="center"/>
                      </w:pPr>
                      <w:r>
                        <w:t>版本号：GSTS20201208V1.0</w:t>
                      </w:r>
                    </w:p>
                  </w:txbxContent>
                </v:textbox>
              </v:roundrect>
            </w:pict>
          </mc:Fallback>
        </mc:AlternateContent>
      </w:r>
    </w:p>
    <w:p>
      <w:pPr>
        <w:jc w:val="center"/>
        <w:rPr>
          <w:rFonts w:ascii="黑体" w:hAnsi="黑体" w:eastAsia="黑体" w:cs="黑体"/>
          <w:sz w:val="30"/>
          <w:szCs w:val="30"/>
        </w:rPr>
        <w:sectPr>
          <w:headerReference r:id="rId3" w:type="default"/>
          <w:footerReference r:id="rId4" w:type="default"/>
          <w:pgSz w:w="11906" w:h="16838"/>
          <w:pgMar w:top="1440" w:right="1803" w:bottom="1440" w:left="1803" w:header="1134" w:footer="1264" w:gutter="0"/>
          <w:pgNumType w:start="1"/>
          <w:cols w:space="0" w:num="1"/>
          <w:docGrid w:linePitch="312" w:charSpace="0"/>
        </w:sectPr>
      </w:pPr>
    </w:p>
    <w:sdt>
      <w:sdtPr>
        <w:rPr>
          <w:rFonts w:ascii="宋体" w:hAnsi="宋体"/>
        </w:rPr>
        <w:id w:val="459937920"/>
        <w15:color w:val="DBDBDB"/>
      </w:sdtPr>
      <w:sdtEndPr>
        <w:rPr>
          <w:rFonts w:ascii="Times New Roman" w:hAnsi="Times New Roman"/>
          <w:sz w:val="20"/>
          <w:szCs w:val="20"/>
        </w:rPr>
      </w:sdtEndPr>
      <w:sdtContent>
        <w:p>
          <w:pPr>
            <w:tabs>
              <w:tab w:val="right" w:leader="dot" w:pos="8300"/>
            </w:tabs>
            <w:rPr>
              <w:rFonts w:ascii="宋体" w:hAnsi="宋体"/>
            </w:rPr>
          </w:pPr>
        </w:p>
        <w:sdt>
          <w:sdtPr>
            <w:rPr>
              <w:rFonts w:ascii="宋体" w:hAnsi="宋体"/>
              <w:sz w:val="32"/>
              <w:szCs w:val="32"/>
            </w:rPr>
            <w:id w:val="791356936"/>
            <w15:color w:val="DBDBDB"/>
          </w:sdtPr>
          <w:sdtEndPr>
            <w:rPr>
              <w:rFonts w:ascii="宋体" w:hAnsi="宋体"/>
              <w:sz w:val="32"/>
              <w:szCs w:val="32"/>
            </w:rPr>
          </w:sdtEndPr>
          <w:sdtContent>
            <w:p>
              <w:pPr>
                <w:jc w:val="center"/>
                <w:rPr>
                  <w:sz w:val="32"/>
                  <w:szCs w:val="32"/>
                </w:rPr>
              </w:pPr>
              <w:r>
                <w:rPr>
                  <w:rFonts w:ascii="宋体" w:hAnsi="宋体"/>
                  <w:sz w:val="32"/>
                  <w:szCs w:val="32"/>
                </w:rPr>
                <w:t>目 录</w:t>
              </w:r>
            </w:p>
            <w:p>
              <w:pPr>
                <w:pStyle w:val="16"/>
                <w:tabs>
                  <w:tab w:val="right" w:leader="dot" w:pos="8290"/>
                </w:tabs>
                <w:rPr>
                  <w:rFonts w:asciiTheme="minorHAnsi" w:hAnsiTheme="minorHAnsi" w:eastAsiaTheme="minorEastAsia" w:cstheme="minorBidi"/>
                  <w:b w:val="0"/>
                  <w:bCs w:val="0"/>
                  <w:caps w:val="0"/>
                  <w:sz w:val="21"/>
                  <w:szCs w:val="22"/>
                </w:rPr>
              </w:pPr>
              <w:r>
                <w:rPr>
                  <w:sz w:val="28"/>
                  <w:szCs w:val="28"/>
                </w:rPr>
                <w:fldChar w:fldCharType="begin"/>
              </w:r>
              <w:r>
                <w:rPr>
                  <w:sz w:val="28"/>
                  <w:szCs w:val="28"/>
                </w:rPr>
                <w:instrText xml:space="preserve">TOC \o "1-3" \h \u </w:instrText>
              </w:r>
              <w:r>
                <w:rPr>
                  <w:sz w:val="28"/>
                  <w:szCs w:val="28"/>
                </w:rPr>
                <w:fldChar w:fldCharType="separate"/>
              </w:r>
              <w:r>
                <w:fldChar w:fldCharType="begin"/>
              </w:r>
              <w:r>
                <w:instrText xml:space="preserve"> HYPERLINK \l "_Toc58415522" </w:instrText>
              </w:r>
              <w:r>
                <w:fldChar w:fldCharType="separate"/>
              </w:r>
              <w:r>
                <w:rPr>
                  <w:rStyle w:val="25"/>
                  <w:rFonts w:ascii="宋体" w:hAnsi="宋体" w:cs="宋体"/>
                </w:rPr>
                <w:t>第一章</w:t>
              </w:r>
              <w:r>
                <w:rPr>
                  <w:rStyle w:val="25"/>
                </w:rPr>
                <w:t xml:space="preserve"> 投保操作流程</w:t>
              </w:r>
              <w:r>
                <w:tab/>
              </w:r>
              <w:r>
                <w:fldChar w:fldCharType="begin"/>
              </w:r>
              <w:r>
                <w:instrText xml:space="preserve"> PAGEREF _Toc58415522 \h </w:instrText>
              </w:r>
              <w:r>
                <w:fldChar w:fldCharType="separate"/>
              </w:r>
              <w:r>
                <w:t>1</w:t>
              </w:r>
              <w:r>
                <w:fldChar w:fldCharType="end"/>
              </w:r>
              <w:r>
                <w:fldChar w:fldCharType="end"/>
              </w:r>
            </w:p>
            <w:p>
              <w:pPr>
                <w:pStyle w:val="18"/>
                <w:tabs>
                  <w:tab w:val="right" w:leader="dot" w:pos="8290"/>
                </w:tabs>
                <w:rPr>
                  <w:rFonts w:asciiTheme="minorHAnsi" w:hAnsiTheme="minorHAnsi" w:eastAsiaTheme="minorEastAsia" w:cstheme="minorBidi"/>
                  <w:smallCaps w:val="0"/>
                  <w:sz w:val="21"/>
                  <w:szCs w:val="22"/>
                </w:rPr>
              </w:pPr>
              <w:r>
                <w:fldChar w:fldCharType="begin"/>
              </w:r>
              <w:r>
                <w:instrText xml:space="preserve"> HYPERLINK \l "_Toc58415523" </w:instrText>
              </w:r>
              <w:r>
                <w:fldChar w:fldCharType="separate"/>
              </w:r>
              <w:r>
                <w:rPr>
                  <w:rStyle w:val="25"/>
                  <w:rFonts w:ascii="宋体" w:hAnsi="宋体" w:cs="宋体"/>
                </w:rPr>
                <w:t>第一节</w:t>
              </w:r>
              <w:r>
                <w:rPr>
                  <w:rStyle w:val="25"/>
                </w:rPr>
                <w:t xml:space="preserve"> 投标人登录</w:t>
              </w:r>
              <w:r>
                <w:tab/>
              </w:r>
              <w:r>
                <w:fldChar w:fldCharType="begin"/>
              </w:r>
              <w:r>
                <w:instrText xml:space="preserve"> PAGEREF _Toc58415523 \h </w:instrText>
              </w:r>
              <w:r>
                <w:fldChar w:fldCharType="separate"/>
              </w:r>
              <w:r>
                <w:t>1</w:t>
              </w:r>
              <w:r>
                <w:fldChar w:fldCharType="end"/>
              </w:r>
              <w:r>
                <w:fldChar w:fldCharType="end"/>
              </w:r>
            </w:p>
            <w:p>
              <w:pPr>
                <w:pStyle w:val="18"/>
                <w:tabs>
                  <w:tab w:val="right" w:leader="dot" w:pos="8290"/>
                </w:tabs>
                <w:rPr>
                  <w:rFonts w:asciiTheme="minorHAnsi" w:hAnsiTheme="minorHAnsi" w:eastAsiaTheme="minorEastAsia" w:cstheme="minorBidi"/>
                  <w:smallCaps w:val="0"/>
                  <w:sz w:val="21"/>
                  <w:szCs w:val="22"/>
                </w:rPr>
              </w:pPr>
              <w:r>
                <w:fldChar w:fldCharType="begin"/>
              </w:r>
              <w:r>
                <w:instrText xml:space="preserve"> HYPERLINK \l "_Toc58415524" </w:instrText>
              </w:r>
              <w:r>
                <w:fldChar w:fldCharType="separate"/>
              </w:r>
              <w:r>
                <w:rPr>
                  <w:rStyle w:val="25"/>
                  <w:rFonts w:ascii="宋体" w:hAnsi="宋体" w:cs="宋体"/>
                </w:rPr>
                <w:t>第二节</w:t>
              </w:r>
              <w:r>
                <w:rPr>
                  <w:rStyle w:val="25"/>
                </w:rPr>
                <w:t xml:space="preserve"> 企业认证</w:t>
              </w:r>
              <w:r>
                <w:tab/>
              </w:r>
              <w:r>
                <w:fldChar w:fldCharType="begin"/>
              </w:r>
              <w:r>
                <w:instrText xml:space="preserve"> PAGEREF _Toc58415524 \h </w:instrText>
              </w:r>
              <w:r>
                <w:fldChar w:fldCharType="separate"/>
              </w:r>
              <w:r>
                <w:t>4</w:t>
              </w:r>
              <w:r>
                <w:fldChar w:fldCharType="end"/>
              </w:r>
              <w:r>
                <w:fldChar w:fldCharType="end"/>
              </w:r>
            </w:p>
            <w:p>
              <w:pPr>
                <w:pStyle w:val="18"/>
                <w:tabs>
                  <w:tab w:val="right" w:leader="dot" w:pos="8290"/>
                </w:tabs>
                <w:rPr>
                  <w:rFonts w:asciiTheme="minorHAnsi" w:hAnsiTheme="minorHAnsi" w:eastAsiaTheme="minorEastAsia" w:cstheme="minorBidi"/>
                  <w:smallCaps w:val="0"/>
                  <w:sz w:val="21"/>
                  <w:szCs w:val="22"/>
                </w:rPr>
              </w:pPr>
              <w:r>
                <w:fldChar w:fldCharType="begin"/>
              </w:r>
              <w:r>
                <w:instrText xml:space="preserve"> HYPERLINK \l "_Toc58415525" </w:instrText>
              </w:r>
              <w:r>
                <w:fldChar w:fldCharType="separate"/>
              </w:r>
              <w:r>
                <w:rPr>
                  <w:rStyle w:val="25"/>
                  <w:rFonts w:ascii="宋体" w:hAnsi="宋体" w:cs="宋体"/>
                </w:rPr>
                <w:t>第三节</w:t>
              </w:r>
              <w:r>
                <w:rPr>
                  <w:rStyle w:val="25"/>
                </w:rPr>
                <w:t xml:space="preserve"> 立即投保</w:t>
              </w:r>
              <w:r>
                <w:tab/>
              </w:r>
              <w:r>
                <w:fldChar w:fldCharType="begin"/>
              </w:r>
              <w:r>
                <w:instrText xml:space="preserve"> PAGEREF _Toc58415525 \h </w:instrText>
              </w:r>
              <w:r>
                <w:fldChar w:fldCharType="separate"/>
              </w:r>
              <w:r>
                <w:t>5</w:t>
              </w:r>
              <w:r>
                <w:fldChar w:fldCharType="end"/>
              </w:r>
              <w:r>
                <w:fldChar w:fldCharType="end"/>
              </w:r>
            </w:p>
            <w:p>
              <w:pPr>
                <w:pStyle w:val="18"/>
                <w:tabs>
                  <w:tab w:val="right" w:leader="dot" w:pos="8290"/>
                </w:tabs>
                <w:rPr>
                  <w:rFonts w:asciiTheme="minorHAnsi" w:hAnsiTheme="minorHAnsi" w:eastAsiaTheme="minorEastAsia" w:cstheme="minorBidi"/>
                  <w:smallCaps w:val="0"/>
                  <w:sz w:val="21"/>
                  <w:szCs w:val="22"/>
                </w:rPr>
              </w:pPr>
              <w:r>
                <w:fldChar w:fldCharType="begin"/>
              </w:r>
              <w:r>
                <w:instrText xml:space="preserve"> HYPERLINK \l "_Toc58415526" </w:instrText>
              </w:r>
              <w:r>
                <w:fldChar w:fldCharType="separate"/>
              </w:r>
              <w:r>
                <w:rPr>
                  <w:rStyle w:val="25"/>
                  <w:rFonts w:ascii="宋体" w:hAnsi="宋体" w:cs="宋体"/>
                </w:rPr>
                <w:t>第四节</w:t>
              </w:r>
              <w:r>
                <w:rPr>
                  <w:rStyle w:val="25"/>
                </w:rPr>
                <w:t xml:space="preserve"> 缴纳保费</w:t>
              </w:r>
              <w:r>
                <w:tab/>
              </w:r>
              <w:r>
                <w:fldChar w:fldCharType="begin"/>
              </w:r>
              <w:r>
                <w:instrText xml:space="preserve"> PAGEREF _Toc58415526 \h </w:instrText>
              </w:r>
              <w:r>
                <w:fldChar w:fldCharType="separate"/>
              </w:r>
              <w:r>
                <w:t>7</w:t>
              </w:r>
              <w:r>
                <w:fldChar w:fldCharType="end"/>
              </w:r>
              <w:r>
                <w:fldChar w:fldCharType="end"/>
              </w:r>
            </w:p>
            <w:p>
              <w:pPr>
                <w:pStyle w:val="18"/>
                <w:tabs>
                  <w:tab w:val="right" w:leader="dot" w:pos="8290"/>
                </w:tabs>
                <w:rPr>
                  <w:rFonts w:asciiTheme="minorHAnsi" w:hAnsiTheme="minorHAnsi" w:eastAsiaTheme="minorEastAsia" w:cstheme="minorBidi"/>
                  <w:smallCaps w:val="0"/>
                  <w:sz w:val="21"/>
                  <w:szCs w:val="22"/>
                </w:rPr>
              </w:pPr>
              <w:r>
                <w:fldChar w:fldCharType="begin"/>
              </w:r>
              <w:r>
                <w:instrText xml:space="preserve"> HYPERLINK \l "_Toc58415527" </w:instrText>
              </w:r>
              <w:r>
                <w:fldChar w:fldCharType="separate"/>
              </w:r>
              <w:r>
                <w:rPr>
                  <w:rStyle w:val="25"/>
                  <w:rFonts w:ascii="宋体" w:hAnsi="宋体" w:cs="宋体"/>
                </w:rPr>
                <w:t>第五节</w:t>
              </w:r>
              <w:r>
                <w:rPr>
                  <w:rStyle w:val="25"/>
                </w:rPr>
                <w:t xml:space="preserve"> 下载保单</w:t>
              </w:r>
              <w:r>
                <w:tab/>
              </w:r>
              <w:r>
                <w:fldChar w:fldCharType="begin"/>
              </w:r>
              <w:r>
                <w:instrText xml:space="preserve"> PAGEREF _Toc58415527 \h </w:instrText>
              </w:r>
              <w:r>
                <w:fldChar w:fldCharType="separate"/>
              </w:r>
              <w:r>
                <w:t>9</w:t>
              </w:r>
              <w:r>
                <w:fldChar w:fldCharType="end"/>
              </w:r>
              <w:r>
                <w:fldChar w:fldCharType="end"/>
              </w:r>
            </w:p>
            <w:p>
              <w:pPr>
                <w:pStyle w:val="16"/>
                <w:tabs>
                  <w:tab w:val="right" w:leader="dot" w:pos="8290"/>
                </w:tabs>
                <w:rPr>
                  <w:rFonts w:asciiTheme="minorHAnsi" w:hAnsiTheme="minorHAnsi" w:eastAsiaTheme="minorEastAsia" w:cstheme="minorBidi"/>
                  <w:b w:val="0"/>
                  <w:bCs w:val="0"/>
                  <w:caps w:val="0"/>
                  <w:sz w:val="21"/>
                  <w:szCs w:val="22"/>
                </w:rPr>
              </w:pPr>
              <w:r>
                <w:fldChar w:fldCharType="begin"/>
              </w:r>
              <w:r>
                <w:instrText xml:space="preserve"> HYPERLINK \l "_Toc58415528" </w:instrText>
              </w:r>
              <w:r>
                <w:fldChar w:fldCharType="separate"/>
              </w:r>
              <w:r>
                <w:rPr>
                  <w:rStyle w:val="25"/>
                  <w:rFonts w:ascii="宋体" w:hAnsi="宋体" w:cs="宋体"/>
                </w:rPr>
                <w:t>第二章</w:t>
              </w:r>
              <w:r>
                <w:rPr>
                  <w:rStyle w:val="25"/>
                </w:rPr>
                <w:t xml:space="preserve"> 退保操作流程</w:t>
              </w:r>
              <w:r>
                <w:tab/>
              </w:r>
              <w:r>
                <w:fldChar w:fldCharType="begin"/>
              </w:r>
              <w:r>
                <w:instrText xml:space="preserve"> PAGEREF _Toc58415528 \h </w:instrText>
              </w:r>
              <w:r>
                <w:fldChar w:fldCharType="separate"/>
              </w:r>
              <w:r>
                <w:t>10</w:t>
              </w:r>
              <w:r>
                <w:fldChar w:fldCharType="end"/>
              </w:r>
              <w:r>
                <w:fldChar w:fldCharType="end"/>
              </w:r>
            </w:p>
            <w:p>
              <w:pPr>
                <w:pStyle w:val="18"/>
                <w:tabs>
                  <w:tab w:val="right" w:leader="dot" w:pos="8290"/>
                </w:tabs>
                <w:rPr>
                  <w:rFonts w:asciiTheme="minorHAnsi" w:hAnsiTheme="minorHAnsi" w:eastAsiaTheme="minorEastAsia" w:cstheme="minorBidi"/>
                  <w:smallCaps w:val="0"/>
                  <w:sz w:val="21"/>
                  <w:szCs w:val="22"/>
                </w:rPr>
              </w:pPr>
              <w:r>
                <w:fldChar w:fldCharType="begin"/>
              </w:r>
              <w:r>
                <w:instrText xml:space="preserve"> HYPERLINK \l "_Toc58415529" </w:instrText>
              </w:r>
              <w:r>
                <w:fldChar w:fldCharType="separate"/>
              </w:r>
              <w:r>
                <w:rPr>
                  <w:rStyle w:val="25"/>
                  <w:rFonts w:ascii="宋体" w:hAnsi="宋体" w:cs="宋体"/>
                </w:rPr>
                <w:t>第一节</w:t>
              </w:r>
              <w:r>
                <w:rPr>
                  <w:rStyle w:val="25"/>
                </w:rPr>
                <w:t xml:space="preserve"> 退保规则</w:t>
              </w:r>
              <w:r>
                <w:tab/>
              </w:r>
              <w:r>
                <w:fldChar w:fldCharType="begin"/>
              </w:r>
              <w:r>
                <w:instrText xml:space="preserve"> PAGEREF _Toc58415529 \h </w:instrText>
              </w:r>
              <w:r>
                <w:fldChar w:fldCharType="separate"/>
              </w:r>
              <w:r>
                <w:t>10</w:t>
              </w:r>
              <w:r>
                <w:fldChar w:fldCharType="end"/>
              </w:r>
              <w:r>
                <w:fldChar w:fldCharType="end"/>
              </w:r>
            </w:p>
            <w:p>
              <w:pPr>
                <w:pStyle w:val="18"/>
                <w:tabs>
                  <w:tab w:val="right" w:leader="dot" w:pos="8290"/>
                </w:tabs>
                <w:rPr>
                  <w:rFonts w:asciiTheme="minorHAnsi" w:hAnsiTheme="minorHAnsi" w:eastAsiaTheme="minorEastAsia" w:cstheme="minorBidi"/>
                  <w:smallCaps w:val="0"/>
                  <w:sz w:val="21"/>
                  <w:szCs w:val="22"/>
                </w:rPr>
              </w:pPr>
              <w:r>
                <w:fldChar w:fldCharType="begin"/>
              </w:r>
              <w:r>
                <w:instrText xml:space="preserve"> HYPERLINK \l "_Toc58415530" </w:instrText>
              </w:r>
              <w:r>
                <w:fldChar w:fldCharType="separate"/>
              </w:r>
              <w:r>
                <w:rPr>
                  <w:rStyle w:val="25"/>
                  <w:rFonts w:ascii="宋体" w:hAnsi="宋体" w:cs="宋体"/>
                </w:rPr>
                <w:t>第二节</w:t>
              </w:r>
              <w:r>
                <w:rPr>
                  <w:rStyle w:val="25"/>
                </w:rPr>
                <w:t xml:space="preserve"> 申请退保</w:t>
              </w:r>
              <w:r>
                <w:tab/>
              </w:r>
              <w:r>
                <w:fldChar w:fldCharType="begin"/>
              </w:r>
              <w:r>
                <w:instrText xml:space="preserve"> PAGEREF _Toc58415530 \h </w:instrText>
              </w:r>
              <w:r>
                <w:fldChar w:fldCharType="separate"/>
              </w:r>
              <w:r>
                <w:t>10</w:t>
              </w:r>
              <w:r>
                <w:fldChar w:fldCharType="end"/>
              </w:r>
              <w:r>
                <w:fldChar w:fldCharType="end"/>
              </w:r>
            </w:p>
            <w:p>
              <w:pPr>
                <w:pStyle w:val="18"/>
                <w:tabs>
                  <w:tab w:val="right" w:leader="dot" w:pos="8290"/>
                </w:tabs>
                <w:rPr>
                  <w:rFonts w:asciiTheme="minorHAnsi" w:hAnsiTheme="minorHAnsi" w:eastAsiaTheme="minorEastAsia" w:cstheme="minorBidi"/>
                  <w:smallCaps w:val="0"/>
                  <w:sz w:val="21"/>
                  <w:szCs w:val="22"/>
                </w:rPr>
              </w:pPr>
              <w:r>
                <w:fldChar w:fldCharType="begin"/>
              </w:r>
              <w:r>
                <w:instrText xml:space="preserve"> HYPERLINK \l "_Toc58415531" </w:instrText>
              </w:r>
              <w:r>
                <w:fldChar w:fldCharType="separate"/>
              </w:r>
              <w:r>
                <w:rPr>
                  <w:rStyle w:val="25"/>
                  <w:rFonts w:ascii="宋体" w:hAnsi="宋体" w:cs="宋体"/>
                </w:rPr>
                <w:t>第三节</w:t>
              </w:r>
              <w:r>
                <w:rPr>
                  <w:rStyle w:val="25"/>
                </w:rPr>
                <w:t xml:space="preserve"> 提交审核</w:t>
              </w:r>
              <w:r>
                <w:tab/>
              </w:r>
              <w:r>
                <w:fldChar w:fldCharType="begin"/>
              </w:r>
              <w:r>
                <w:instrText xml:space="preserve"> PAGEREF _Toc58415531 \h </w:instrText>
              </w:r>
              <w:r>
                <w:fldChar w:fldCharType="separate"/>
              </w:r>
              <w:r>
                <w:t>12</w:t>
              </w:r>
              <w:r>
                <w:fldChar w:fldCharType="end"/>
              </w:r>
              <w:r>
                <w:fldChar w:fldCharType="end"/>
              </w:r>
            </w:p>
            <w:p>
              <w:pPr>
                <w:pStyle w:val="16"/>
                <w:tabs>
                  <w:tab w:val="right" w:leader="dot" w:pos="8290"/>
                </w:tabs>
                <w:rPr>
                  <w:rFonts w:asciiTheme="minorHAnsi" w:hAnsiTheme="minorHAnsi" w:eastAsiaTheme="minorEastAsia" w:cstheme="minorBidi"/>
                  <w:b w:val="0"/>
                  <w:bCs w:val="0"/>
                  <w:caps w:val="0"/>
                  <w:sz w:val="21"/>
                  <w:szCs w:val="22"/>
                </w:rPr>
              </w:pPr>
              <w:r>
                <w:fldChar w:fldCharType="begin"/>
              </w:r>
              <w:r>
                <w:instrText xml:space="preserve"> HYPERLINK \l "_Toc58415532" </w:instrText>
              </w:r>
              <w:r>
                <w:fldChar w:fldCharType="separate"/>
              </w:r>
              <w:r>
                <w:rPr>
                  <w:rStyle w:val="25"/>
                  <w:rFonts w:ascii="宋体" w:hAnsi="宋体" w:cs="宋体"/>
                </w:rPr>
                <w:t>第三章</w:t>
              </w:r>
              <w:r>
                <w:rPr>
                  <w:rStyle w:val="25"/>
                </w:rPr>
                <w:t xml:space="preserve"> 发票申请流程</w:t>
              </w:r>
              <w:r>
                <w:tab/>
              </w:r>
              <w:r>
                <w:fldChar w:fldCharType="begin"/>
              </w:r>
              <w:r>
                <w:instrText xml:space="preserve"> PAGEREF _Toc58415532 \h </w:instrText>
              </w:r>
              <w:r>
                <w:fldChar w:fldCharType="separate"/>
              </w:r>
              <w:r>
                <w:t>13</w:t>
              </w:r>
              <w:r>
                <w:fldChar w:fldCharType="end"/>
              </w:r>
              <w:r>
                <w:fldChar w:fldCharType="end"/>
              </w:r>
            </w:p>
            <w:p>
              <w:pPr>
                <w:pStyle w:val="18"/>
                <w:tabs>
                  <w:tab w:val="right" w:leader="dot" w:pos="8290"/>
                </w:tabs>
                <w:rPr>
                  <w:rFonts w:asciiTheme="minorHAnsi" w:hAnsiTheme="minorHAnsi" w:eastAsiaTheme="minorEastAsia" w:cstheme="minorBidi"/>
                  <w:smallCaps w:val="0"/>
                  <w:sz w:val="21"/>
                  <w:szCs w:val="22"/>
                </w:rPr>
              </w:pPr>
              <w:r>
                <w:fldChar w:fldCharType="begin"/>
              </w:r>
              <w:r>
                <w:instrText xml:space="preserve"> HYPERLINK \l "_Toc58415533" </w:instrText>
              </w:r>
              <w:r>
                <w:fldChar w:fldCharType="separate"/>
              </w:r>
              <w:r>
                <w:rPr>
                  <w:rStyle w:val="25"/>
                  <w:rFonts w:ascii="宋体" w:hAnsi="宋体" w:cs="宋体"/>
                </w:rPr>
                <w:t>第一节</w:t>
              </w:r>
              <w:r>
                <w:rPr>
                  <w:rStyle w:val="25"/>
                </w:rPr>
                <w:t xml:space="preserve"> 申请发票</w:t>
              </w:r>
              <w:r>
                <w:tab/>
              </w:r>
              <w:r>
                <w:fldChar w:fldCharType="begin"/>
              </w:r>
              <w:r>
                <w:instrText xml:space="preserve"> PAGEREF _Toc58415533 \h </w:instrText>
              </w:r>
              <w:r>
                <w:fldChar w:fldCharType="separate"/>
              </w:r>
              <w:r>
                <w:t>13</w:t>
              </w:r>
              <w:r>
                <w:fldChar w:fldCharType="end"/>
              </w:r>
              <w:r>
                <w:fldChar w:fldCharType="end"/>
              </w:r>
            </w:p>
            <w:p>
              <w:pPr>
                <w:pStyle w:val="18"/>
                <w:tabs>
                  <w:tab w:val="right" w:leader="dot" w:pos="8290"/>
                </w:tabs>
                <w:rPr>
                  <w:rFonts w:asciiTheme="minorHAnsi" w:hAnsiTheme="minorHAnsi" w:eastAsiaTheme="minorEastAsia" w:cstheme="minorBidi"/>
                  <w:smallCaps w:val="0"/>
                  <w:sz w:val="21"/>
                  <w:szCs w:val="22"/>
                </w:rPr>
              </w:pPr>
              <w:r>
                <w:fldChar w:fldCharType="begin"/>
              </w:r>
              <w:r>
                <w:instrText xml:space="preserve"> HYPERLINK \l "_Toc58415534" </w:instrText>
              </w:r>
              <w:r>
                <w:fldChar w:fldCharType="separate"/>
              </w:r>
              <w:r>
                <w:rPr>
                  <w:rStyle w:val="25"/>
                  <w:rFonts w:ascii="宋体" w:hAnsi="宋体" w:cs="宋体"/>
                </w:rPr>
                <w:t>第二节</w:t>
              </w:r>
              <w:r>
                <w:rPr>
                  <w:rStyle w:val="25"/>
                </w:rPr>
                <w:t xml:space="preserve"> 填写发票信息</w:t>
              </w:r>
              <w:r>
                <w:tab/>
              </w:r>
              <w:r>
                <w:fldChar w:fldCharType="begin"/>
              </w:r>
              <w:r>
                <w:instrText xml:space="preserve"> PAGEREF _Toc58415534 \h </w:instrText>
              </w:r>
              <w:r>
                <w:fldChar w:fldCharType="separate"/>
              </w:r>
              <w:r>
                <w:t>14</w:t>
              </w:r>
              <w:r>
                <w:fldChar w:fldCharType="end"/>
              </w:r>
              <w:r>
                <w:fldChar w:fldCharType="end"/>
              </w:r>
            </w:p>
            <w:p>
              <w:pPr>
                <w:pStyle w:val="18"/>
                <w:tabs>
                  <w:tab w:val="right" w:leader="dot" w:pos="8290"/>
                </w:tabs>
                <w:rPr>
                  <w:rFonts w:asciiTheme="minorHAnsi" w:hAnsiTheme="minorHAnsi" w:eastAsiaTheme="minorEastAsia" w:cstheme="minorBidi"/>
                  <w:smallCaps w:val="0"/>
                  <w:sz w:val="21"/>
                  <w:szCs w:val="22"/>
                </w:rPr>
              </w:pPr>
              <w:r>
                <w:fldChar w:fldCharType="begin"/>
              </w:r>
              <w:r>
                <w:instrText xml:space="preserve"> HYPERLINK \l "_Toc58415535" </w:instrText>
              </w:r>
              <w:r>
                <w:fldChar w:fldCharType="separate"/>
              </w:r>
              <w:r>
                <w:rPr>
                  <w:rStyle w:val="25"/>
                  <w:rFonts w:ascii="宋体" w:hAnsi="宋体" w:cs="宋体"/>
                </w:rPr>
                <w:t>第三节</w:t>
              </w:r>
              <w:r>
                <w:rPr>
                  <w:rStyle w:val="25"/>
                </w:rPr>
                <w:t xml:space="preserve"> 查看发票信息</w:t>
              </w:r>
              <w:r>
                <w:tab/>
              </w:r>
              <w:r>
                <w:fldChar w:fldCharType="begin"/>
              </w:r>
              <w:r>
                <w:instrText xml:space="preserve"> PAGEREF _Toc58415535 \h </w:instrText>
              </w:r>
              <w:r>
                <w:fldChar w:fldCharType="separate"/>
              </w:r>
              <w:r>
                <w:t>14</w:t>
              </w:r>
              <w:r>
                <w:fldChar w:fldCharType="end"/>
              </w:r>
              <w:r>
                <w:fldChar w:fldCharType="end"/>
              </w:r>
            </w:p>
            <w:p>
              <w:r>
                <w:rPr>
                  <w:sz w:val="28"/>
                  <w:szCs w:val="28"/>
                </w:rPr>
                <w:fldChar w:fldCharType="end"/>
              </w:r>
            </w:p>
          </w:sdtContent>
        </w:sdt>
        <w:p>
          <w:pPr>
            <w:tabs>
              <w:tab w:val="right" w:leader="dot" w:pos="8300"/>
            </w:tabs>
            <w:rPr>
              <w:rFonts w:ascii="黑体" w:hAnsi="黑体" w:eastAsia="黑体" w:cs="黑体"/>
              <w:sz w:val="30"/>
              <w:szCs w:val="30"/>
            </w:rPr>
            <w:sectPr>
              <w:pgSz w:w="11906" w:h="16838"/>
              <w:pgMar w:top="1440" w:right="1803" w:bottom="1440" w:left="1803" w:header="1134" w:footer="1264" w:gutter="0"/>
              <w:pgNumType w:start="1"/>
              <w:cols w:space="0" w:num="1"/>
              <w:docGrid w:linePitch="312" w:charSpace="0"/>
            </w:sectPr>
          </w:pPr>
        </w:p>
      </w:sdtContent>
    </w:sdt>
    <w:p>
      <w:pPr>
        <w:pStyle w:val="61"/>
      </w:pPr>
      <w:bookmarkStart w:id="0" w:name="_Toc1674501048_WPSOffice_Level1"/>
      <w:bookmarkStart w:id="1" w:name="_Toc58415522"/>
      <w:r>
        <w:rPr>
          <w:rFonts w:hint="eastAsia"/>
        </w:rPr>
        <w:t>投保操作流程</w:t>
      </w:r>
      <w:bookmarkEnd w:id="0"/>
      <w:bookmarkEnd w:id="1"/>
    </w:p>
    <w:p>
      <w:pPr>
        <w:pStyle w:val="64"/>
      </w:pPr>
      <w:bookmarkStart w:id="2" w:name="_Toc58415523"/>
      <w:r>
        <w:rPr>
          <w:rFonts w:hint="eastAsia"/>
        </w:rPr>
        <w:t>投标人登录</w:t>
      </w:r>
      <w:bookmarkEnd w:id="2"/>
    </w:p>
    <w:p>
      <w:pPr>
        <w:pStyle w:val="59"/>
        <w:wordWrap w:val="0"/>
        <w:ind w:firstLine="480"/>
        <w:rPr>
          <w:lang w:val="en-US"/>
        </w:rPr>
      </w:pPr>
      <w:r>
        <w:rPr>
          <w:rFonts w:hint="eastAsia"/>
        </w:rPr>
        <w:t>投标人登录天水市公告资源交易电子服务系统</w:t>
      </w:r>
      <w:r>
        <w:rPr>
          <w:rFonts w:hint="eastAsia"/>
          <w:lang w:val="en-US"/>
        </w:rPr>
        <w:t>(</w:t>
      </w:r>
      <w:r>
        <w:fldChar w:fldCharType="begin"/>
      </w:r>
      <w:r>
        <w:instrText xml:space="preserve"> HYPERLINK "http://114.55.226.66:8083/UserLogin.aspx" </w:instrText>
      </w:r>
      <w:r>
        <w:fldChar w:fldCharType="separate"/>
      </w:r>
      <w:r>
        <w:rPr>
          <w:rStyle w:val="25"/>
          <w:lang w:val="en-US"/>
        </w:rPr>
        <w:t>http://114.55.226.66:8083/UserLogin.aspx</w:t>
      </w:r>
      <w:r>
        <w:rPr>
          <w:rStyle w:val="25"/>
          <w:lang w:val="en-US"/>
        </w:rPr>
        <w:fldChar w:fldCharType="end"/>
      </w:r>
      <w:r>
        <w:rPr>
          <w:lang w:val="en-US"/>
        </w:rPr>
        <w:t>)</w:t>
      </w:r>
      <w:r>
        <w:rPr>
          <w:rFonts w:hint="eastAsia"/>
          <w:lang w:val="en-US"/>
        </w:rPr>
        <w:t>，</w:t>
      </w:r>
      <w:r>
        <w:rPr>
          <w:rFonts w:hint="eastAsia"/>
        </w:rPr>
        <w:t>点击【投标管理】</w:t>
      </w:r>
      <w:r>
        <w:rPr>
          <w:rFonts w:hint="eastAsia"/>
          <w:lang w:val="en-US"/>
        </w:rPr>
        <w:t>-</w:t>
      </w:r>
      <w:r>
        <w:rPr>
          <w:rFonts w:hint="eastAsia"/>
        </w:rPr>
        <w:t>【投标登记情况】</w:t>
      </w:r>
      <w:r>
        <w:rPr>
          <w:rFonts w:hint="eastAsia"/>
          <w:lang w:val="en-US"/>
        </w:rPr>
        <w:t>，</w:t>
      </w:r>
      <w:r>
        <w:rPr>
          <w:rFonts w:hint="eastAsia"/>
        </w:rPr>
        <w:t>点击【进入保函系统】。</w:t>
      </w:r>
    </w:p>
    <w:p>
      <w:pPr>
        <w:pStyle w:val="59"/>
        <w:ind w:firstLine="0" w:firstLineChars="0"/>
      </w:pPr>
      <w:r>
        <w:rPr>
          <w:rFonts w:hint="eastAsia"/>
        </w:rPr>
        <w:drawing>
          <wp:inline distT="0" distB="0" distL="0" distR="0">
            <wp:extent cx="5270500" cy="2503805"/>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2503805"/>
                    </a:xfrm>
                    <a:prstGeom prst="rect">
                      <a:avLst/>
                    </a:prstGeom>
                  </pic:spPr>
                </pic:pic>
              </a:graphicData>
            </a:graphic>
          </wp:inline>
        </w:drawing>
      </w:r>
    </w:p>
    <w:p>
      <w:pPr>
        <w:pStyle w:val="59"/>
        <w:ind w:firstLine="0" w:firstLineChars="0"/>
      </w:pPr>
      <w:r>
        <w:drawing>
          <wp:inline distT="0" distB="0" distL="0" distR="0">
            <wp:extent cx="5268595" cy="1407160"/>
            <wp:effectExtent l="19050" t="19050" r="27305"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rcRect t="2827" b="45153"/>
                    <a:stretch>
                      <a:fillRect/>
                    </a:stretch>
                  </pic:blipFill>
                  <pic:spPr>
                    <a:xfrm>
                      <a:off x="0" y="0"/>
                      <a:ext cx="5270500" cy="1407875"/>
                    </a:xfrm>
                    <a:prstGeom prst="rect">
                      <a:avLst/>
                    </a:prstGeom>
                    <a:ln w="9525" cap="flat" cmpd="sng" algn="ctr">
                      <a:solidFill>
                        <a:sysClr val="window" lastClr="FFFFFF">
                          <a:lumMod val="85000"/>
                        </a:sysClr>
                      </a:solidFill>
                      <a:prstDash val="solid"/>
                      <a:round/>
                      <a:headEnd type="none" w="med" len="med"/>
                      <a:tailEnd type="none" w="med" len="med"/>
                    </a:ln>
                  </pic:spPr>
                </pic:pic>
              </a:graphicData>
            </a:graphic>
          </wp:inline>
        </w:drawing>
      </w:r>
    </w:p>
    <w:p>
      <w:pPr>
        <w:pStyle w:val="59"/>
        <w:ind w:firstLine="480"/>
      </w:pPr>
      <w:r>
        <w:rPr>
          <w:rFonts w:hint="eastAsia"/>
        </w:rPr>
        <w:t>在项目管理页面，勾选申请保函的项目，点击【申请保函】。</w:t>
      </w:r>
    </w:p>
    <w:p>
      <w:pPr>
        <w:pStyle w:val="59"/>
        <w:ind w:firstLine="0" w:firstLineChars="0"/>
      </w:pPr>
      <w:r>
        <mc:AlternateContent>
          <mc:Choice Requires="wps">
            <w:drawing>
              <wp:anchor distT="0" distB="0" distL="114300" distR="114300" simplePos="0" relativeHeight="251661312" behindDoc="0" locked="0" layoutInCell="1" allowOverlap="1">
                <wp:simplePos x="0" y="0"/>
                <wp:positionH relativeFrom="column">
                  <wp:posOffset>974725</wp:posOffset>
                </wp:positionH>
                <wp:positionV relativeFrom="paragraph">
                  <wp:posOffset>302895</wp:posOffset>
                </wp:positionV>
                <wp:extent cx="284480" cy="114300"/>
                <wp:effectExtent l="0" t="0" r="20320" b="19050"/>
                <wp:wrapNone/>
                <wp:docPr id="14" name="矩形 14"/>
                <wp:cNvGraphicFramePr/>
                <a:graphic xmlns:a="http://schemas.openxmlformats.org/drawingml/2006/main">
                  <a:graphicData uri="http://schemas.microsoft.com/office/word/2010/wordprocessingShape">
                    <wps:wsp>
                      <wps:cNvSpPr/>
                      <wps:spPr>
                        <a:xfrm>
                          <a:off x="0" y="0"/>
                          <a:ext cx="284480" cy="11430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75pt;margin-top:23.85pt;height:9pt;width:22.4pt;z-index:251661312;v-text-anchor:middle;mso-width-relative:page;mso-height-relative:page;" filled="f" stroked="t" coordsize="21600,21600" o:gfxdata="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egAVtgAAAAJAQAADwAAAAAAAAABACAAAAAiAAAAZHJzL2Rvd25yZXYueG1s&#10;UEsBAhQAFAAAAAgAh07iQGY4ZqJqAgAAywQAAA4AAAAAAAAAAQAgAAAAJwEAAGRycy9lMm9Eb2Mu&#10;eG1sUEsFBgAAAAAGAAYAWQEAAAMGAAAAAA==&#10;">
                <v:fill on="f" focussize="0,0"/>
                <v:stroke color="#FF0000 [3204]" miterlimit="8" joinstyle="miter"/>
                <v:imagedata o:title=""/>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426720</wp:posOffset>
                </wp:positionH>
                <wp:positionV relativeFrom="paragraph">
                  <wp:posOffset>473075</wp:posOffset>
                </wp:positionV>
                <wp:extent cx="495300" cy="238125"/>
                <wp:effectExtent l="0" t="38100" r="57150" b="28575"/>
                <wp:wrapNone/>
                <wp:docPr id="15" name="直接箭头连接符 15"/>
                <wp:cNvGraphicFramePr/>
                <a:graphic xmlns:a="http://schemas.openxmlformats.org/drawingml/2006/main">
                  <a:graphicData uri="http://schemas.microsoft.com/office/word/2010/wordprocessingShape">
                    <wps:wsp>
                      <wps:cNvCnPr/>
                      <wps:spPr>
                        <a:xfrm flipV="1">
                          <a:off x="0" y="0"/>
                          <a:ext cx="495300" cy="238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6pt;margin-top:37.25pt;height:18.75pt;width:39pt;z-index:251662336;mso-width-relative:page;mso-height-relative:page;" filled="f" stroked="t" coordsize="21600,21600" o:gfxdata="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1q6dzZAAAACQEAAA8AAAAA&#10;AAAAAQAgAAAAIgAAAGRycy9kb3ducmV2LnhtbFBLAQIUABQAAAAIAIdO4kCS7gVsEwIAAPEDAAAO&#10;AAAAAAAAAAEAIAAAACgBAABkcnMvZTJvRG9jLnhtbFBLBQYAAAAABgAGAFkBAACtBQ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69215</wp:posOffset>
                </wp:positionH>
                <wp:positionV relativeFrom="paragraph">
                  <wp:posOffset>650875</wp:posOffset>
                </wp:positionV>
                <wp:extent cx="323850" cy="114300"/>
                <wp:effectExtent l="0" t="0" r="19050" b="19050"/>
                <wp:wrapNone/>
                <wp:docPr id="12" name="矩形 12"/>
                <wp:cNvGraphicFramePr/>
                <a:graphic xmlns:a="http://schemas.openxmlformats.org/drawingml/2006/main">
                  <a:graphicData uri="http://schemas.microsoft.com/office/word/2010/wordprocessingShape">
                    <wps:wsp>
                      <wps:cNvSpPr/>
                      <wps:spPr>
                        <a:xfrm>
                          <a:off x="0" y="0"/>
                          <a:ext cx="323850" cy="11430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5pt;margin-top:51.25pt;height:9pt;width:25.5pt;z-index:251659264;v-text-anchor:middle;mso-width-relative:page;mso-height-relative:page;" filled="f" stroked="t" coordsize="21600,21600" o:gfxdata="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ULpw3WAAAACQEAAA8AAAAAAAAAAQAgAAAAIgAAAGRycy9kb3ducmV2LnhtbFBL&#10;AQIUABQAAAAIAIdO4kB+/HMGagIAAMsEAAAOAAAAAAAAAAEAIAAAACUBAABkcnMvZTJvRG9jLnht&#10;bFBLBQYAAAAABgAGAFkBAAABBgAAAAA=&#10;">
                <v:fill on="f" focussize="0,0"/>
                <v:stroke color="#FF0000 [3204]" miterlimit="8" joinstyle="miter"/>
                <v:imagedata o:title=""/>
                <o:lock v:ext="edit" aspectratio="f"/>
              </v:rect>
            </w:pict>
          </mc:Fallback>
        </mc:AlternateContent>
      </w:r>
      <w:r>
        <w:drawing>
          <wp:inline distT="0" distB="0" distL="0" distR="0">
            <wp:extent cx="5264150" cy="2451100"/>
            <wp:effectExtent l="19050" t="19050" r="12700" b="254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rcRect t="1605" b="5429"/>
                    <a:stretch>
                      <a:fillRect/>
                    </a:stretch>
                  </pic:blipFill>
                  <pic:spPr>
                    <a:xfrm>
                      <a:off x="0" y="0"/>
                      <a:ext cx="5270500" cy="2454001"/>
                    </a:xfrm>
                    <a:prstGeom prst="rect">
                      <a:avLst/>
                    </a:prstGeom>
                    <a:ln w="9525" cap="flat" cmpd="sng" algn="ctr">
                      <a:solidFill>
                        <a:sysClr val="window" lastClr="FFFFFF">
                          <a:lumMod val="85000"/>
                        </a:sysClr>
                      </a:solidFill>
                      <a:prstDash val="solid"/>
                      <a:round/>
                      <a:headEnd type="none" w="med" len="med"/>
                      <a:tailEnd type="none" w="med" len="med"/>
                    </a:ln>
                  </pic:spPr>
                </pic:pic>
              </a:graphicData>
            </a:graphic>
          </wp:inline>
        </w:drawing>
      </w:r>
    </w:p>
    <w:p>
      <w:pPr>
        <w:pStyle w:val="59"/>
        <w:ind w:firstLine="480"/>
      </w:pPr>
      <w:r>
        <w:rPr>
          <w:rFonts w:hint="eastAsia"/>
        </w:rPr>
        <w:t>请确认此页面的项目信息，确认无误后点击【下一步】。使用用户名或证书登录。</w:t>
      </w:r>
    </w:p>
    <w:p>
      <w:pPr>
        <w:pStyle w:val="59"/>
        <w:ind w:firstLine="0" w:firstLineChars="0"/>
        <w:sectPr>
          <w:footerReference r:id="rId5" w:type="default"/>
          <w:pgSz w:w="11906" w:h="16838"/>
          <w:pgMar w:top="1440" w:right="1803" w:bottom="1440" w:left="1803" w:header="1134" w:footer="1264" w:gutter="0"/>
          <w:pgNumType w:start="1"/>
          <w:cols w:space="0" w:num="1"/>
          <w:docGrid w:linePitch="312" w:charSpace="0"/>
        </w:sectPr>
      </w:pPr>
      <w:r>
        <w:drawing>
          <wp:inline distT="0" distB="0" distL="0" distR="0">
            <wp:extent cx="5270500" cy="2640965"/>
            <wp:effectExtent l="19050" t="19050" r="25400" b="260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2640965"/>
                    </a:xfrm>
                    <a:prstGeom prst="rect">
                      <a:avLst/>
                    </a:prstGeom>
                    <a:ln>
                      <a:solidFill>
                        <a:schemeClr val="bg1">
                          <a:lumMod val="85000"/>
                        </a:schemeClr>
                      </a:solidFill>
                    </a:ln>
                  </pic:spPr>
                </pic:pic>
              </a:graphicData>
            </a:graphic>
          </wp:inline>
        </w:drawing>
      </w:r>
      <w:r>
        <w:drawing>
          <wp:inline distT="0" distB="0" distL="0" distR="0">
            <wp:extent cx="5269865" cy="2446655"/>
            <wp:effectExtent l="19050" t="19050" r="2603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rcRect t="7878" b="7053"/>
                    <a:stretch>
                      <a:fillRect/>
                    </a:stretch>
                  </pic:blipFill>
                  <pic:spPr>
                    <a:xfrm>
                      <a:off x="0" y="0"/>
                      <a:ext cx="5270500" cy="2447027"/>
                    </a:xfrm>
                    <a:prstGeom prst="rect">
                      <a:avLst/>
                    </a:prstGeom>
                    <a:ln w="9525" cap="flat" cmpd="sng" algn="ctr">
                      <a:solidFill>
                        <a:sysClr val="window" lastClr="FFFFFF">
                          <a:lumMod val="85000"/>
                        </a:sysClr>
                      </a:solidFill>
                      <a:prstDash val="solid"/>
                      <a:round/>
                      <a:headEnd type="none" w="med" len="med"/>
                      <a:tailEnd type="none" w="med" len="med"/>
                    </a:ln>
                  </pic:spPr>
                </pic:pic>
              </a:graphicData>
            </a:graphic>
          </wp:inline>
        </w:drawing>
      </w:r>
    </w:p>
    <w:p>
      <w:pPr>
        <w:pStyle w:val="59"/>
        <w:ind w:firstLine="480"/>
      </w:pPr>
      <w:r>
        <w:t>录入企业信息、经办人信息、项目信息，</w:t>
      </w:r>
      <w:r>
        <w:rPr>
          <w:color w:val="FF0000"/>
        </w:rPr>
        <w:t>此处务必填写正确</w:t>
      </w:r>
      <w:r>
        <w:t>，录入完成后点击【下一步】，点击【完成】</w:t>
      </w:r>
      <w:r>
        <w:rPr>
          <w:rFonts w:hint="eastAsia"/>
        </w:rPr>
        <w:t>。</w:t>
      </w:r>
    </w:p>
    <w:p>
      <w:pPr>
        <w:pStyle w:val="59"/>
        <w:ind w:firstLine="0" w:firstLineChars="0"/>
      </w:pPr>
      <w:r>
        <mc:AlternateContent>
          <mc:Choice Requires="wps">
            <w:drawing>
              <wp:anchor distT="0" distB="0" distL="114300" distR="114300" simplePos="0" relativeHeight="251669504" behindDoc="0" locked="0" layoutInCell="1" allowOverlap="1">
                <wp:simplePos x="0" y="0"/>
                <wp:positionH relativeFrom="column">
                  <wp:posOffset>3573780</wp:posOffset>
                </wp:positionH>
                <wp:positionV relativeFrom="paragraph">
                  <wp:posOffset>1092200</wp:posOffset>
                </wp:positionV>
                <wp:extent cx="570230" cy="45085"/>
                <wp:effectExtent l="0" t="0" r="20320" b="12065"/>
                <wp:wrapNone/>
                <wp:docPr id="6" name="矩形 6"/>
                <wp:cNvGraphicFramePr/>
                <a:graphic xmlns:a="http://schemas.openxmlformats.org/drawingml/2006/main">
                  <a:graphicData uri="http://schemas.microsoft.com/office/word/2010/wordprocessingShape">
                    <wps:wsp>
                      <wps:cNvSpPr/>
                      <wps:spPr>
                        <a:xfrm>
                          <a:off x="0" y="0"/>
                          <a:ext cx="57023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4pt;margin-top:86pt;height:3.55pt;width:44.9pt;z-index:251669504;v-text-anchor:middle;mso-width-relative:page;mso-height-relative:page;" fillcolor="#FFFFFF [3212]" filled="t" stroked="t" coordsize="21600,21600" o:gfxdata="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azPx69gAAAALAQAADwAAAAAAAAABACAAAAAiAAAAZHJzL2Rvd25yZXYueG1s&#10;UEsBAhQAFAAAAAgAh07iQFOP+vhqAgAA8gQAAA4AAAAAAAAAAQAgAAAAJwEAAGRycy9lMm9Eb2Mu&#10;eG1sUEsFBgAAAAAGAAYAWQEAAAMGAAAAAA==&#10;">
                <v:fill on="t" focussize="0,0"/>
                <v:stroke weight="1pt" color="#FFFFFF [3212]" miterlimit="8" joinstyle="miter"/>
                <v:imagedata o:title=""/>
                <o:lock v:ext="edit" aspectratio="f"/>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3569335</wp:posOffset>
                </wp:positionH>
                <wp:positionV relativeFrom="paragraph">
                  <wp:posOffset>1394460</wp:posOffset>
                </wp:positionV>
                <wp:extent cx="570865" cy="45720"/>
                <wp:effectExtent l="0" t="0" r="20320" b="12065"/>
                <wp:wrapNone/>
                <wp:docPr id="7" name="矩形 7"/>
                <wp:cNvGraphicFramePr/>
                <a:graphic xmlns:a="http://schemas.openxmlformats.org/drawingml/2006/main">
                  <a:graphicData uri="http://schemas.microsoft.com/office/word/2010/wordprocessingShape">
                    <wps:wsp>
                      <wps:cNvSpPr/>
                      <wps:spPr>
                        <a:xfrm>
                          <a:off x="0" y="0"/>
                          <a:ext cx="57084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05pt;margin-top:109.8pt;height:3.6pt;width:44.95pt;z-index:251671552;v-text-anchor:middle;mso-width-relative:page;mso-height-relative:page;" fillcolor="#FFFFFF [3212]" filled="t" stroked="t" coordsize="21600,21600" o:gfxdata="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u6HdfYAAAACwEAAA8AAAAAAAAAAQAgAAAAIgAAAGRycy9kb3ducmV2LnhtbFBL&#10;AQIUABQAAAAIAIdO4kCXixAraAIAAPIEAAAOAAAAAAAAAAEAIAAAACcBAABkcnMvZTJvRG9jLnht&#10;bFBLBQYAAAAABgAGAFkBAAABBgAAAAA=&#10;">
                <v:fill on="t" focussize="0,0"/>
                <v:stroke weight="1pt" color="#FFFFFF [3212]" miterlimit="8" joinstyle="miter"/>
                <v:imagedata o:title=""/>
                <o:lock v:ext="edit" aspectratio="f"/>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1888490</wp:posOffset>
                </wp:positionH>
                <wp:positionV relativeFrom="paragraph">
                  <wp:posOffset>1086485</wp:posOffset>
                </wp:positionV>
                <wp:extent cx="570865" cy="45720"/>
                <wp:effectExtent l="0" t="0" r="20320" b="12065"/>
                <wp:wrapNone/>
                <wp:docPr id="4" name="矩形 4"/>
                <wp:cNvGraphicFramePr/>
                <a:graphic xmlns:a="http://schemas.openxmlformats.org/drawingml/2006/main">
                  <a:graphicData uri="http://schemas.microsoft.com/office/word/2010/wordprocessingShape">
                    <wps:wsp>
                      <wps:cNvSpPr/>
                      <wps:spPr>
                        <a:xfrm>
                          <a:off x="0" y="0"/>
                          <a:ext cx="57084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7pt;margin-top:85.55pt;height:3.6pt;width:44.95pt;z-index:251667456;v-text-anchor:middle;mso-width-relative:page;mso-height-relative:page;" fillcolor="#FFFFFF [3212]" filled="t" stroked="t" coordsize="21600,21600" o:gfxdata="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tLkgj2QAAAAsBAAAPAAAAAAAAAAEAIAAAACIAAABkcnMvZG93bnJldi54bWxQ&#10;SwECFAAUAAAACACHTuJATs8W22gCAADyBAAADgAAAAAAAAABACAAAAAoAQAAZHJzL2Uyb0RvYy54&#10;bWxQSwUGAAAAAAYABgBZAQAAAgYAAAAA&#10;">
                <v:fill on="t" focussize="0,0"/>
                <v:stroke weight="1pt" color="#FFFFFF [3212]" miterlimit="8" joinstyle="miter"/>
                <v:imagedata o:title=""/>
                <o:lock v:ext="edit" aspectratio="f"/>
              </v:rect>
            </w:pict>
          </mc:Fallback>
        </mc:AlternateContent>
      </w:r>
      <w:r>
        <w:drawing>
          <wp:inline distT="0" distB="0" distL="0" distR="0">
            <wp:extent cx="5270500" cy="2484120"/>
            <wp:effectExtent l="19050" t="19050" r="2540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0" cy="2484120"/>
                    </a:xfrm>
                    <a:prstGeom prst="rect">
                      <a:avLst/>
                    </a:prstGeom>
                    <a:ln>
                      <a:solidFill>
                        <a:schemeClr val="bg1">
                          <a:lumMod val="85000"/>
                        </a:schemeClr>
                      </a:solidFill>
                    </a:ln>
                  </pic:spPr>
                </pic:pic>
              </a:graphicData>
            </a:graphic>
          </wp:inline>
        </w:drawing>
      </w:r>
    </w:p>
    <w:p>
      <w:pPr>
        <w:pStyle w:val="59"/>
        <w:ind w:firstLine="0" w:firstLineChars="0"/>
        <w:sectPr>
          <w:pgSz w:w="11906" w:h="16838"/>
          <w:pgMar w:top="1440" w:right="1803" w:bottom="1440" w:left="1803" w:header="1134" w:footer="1264" w:gutter="0"/>
          <w:cols w:space="0" w:num="1"/>
          <w:docGrid w:linePitch="312" w:charSpace="0"/>
        </w:sectPr>
      </w:pPr>
      <w:r>
        <w:rPr>
          <w:rFonts w:hint="eastAsia"/>
        </w:rPr>
        <w:drawing>
          <wp:inline distT="0" distB="0" distL="114300" distR="114300">
            <wp:extent cx="5259705" cy="593725"/>
            <wp:effectExtent l="19050" t="19050" r="17145" b="15875"/>
            <wp:docPr id="16" name="图片 16" descr="开立保函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开立保函流程"/>
                    <pic:cNvPicPr>
                      <a:picLocks noChangeAspect="1"/>
                    </pic:cNvPicPr>
                  </pic:nvPicPr>
                  <pic:blipFill>
                    <a:blip r:embed="rId15"/>
                    <a:stretch>
                      <a:fillRect/>
                    </a:stretch>
                  </pic:blipFill>
                  <pic:spPr>
                    <a:xfrm>
                      <a:off x="0" y="0"/>
                      <a:ext cx="5259705" cy="593725"/>
                    </a:xfrm>
                    <a:prstGeom prst="rect">
                      <a:avLst/>
                    </a:prstGeom>
                    <a:ln>
                      <a:solidFill>
                        <a:schemeClr val="bg1">
                          <a:lumMod val="85000"/>
                        </a:schemeClr>
                      </a:solidFill>
                    </a:ln>
                  </pic:spPr>
                </pic:pic>
              </a:graphicData>
            </a:graphic>
          </wp:inline>
        </w:drawing>
      </w:r>
    </w:p>
    <w:p>
      <w:pPr>
        <w:pStyle w:val="64"/>
        <w:tabs>
          <w:tab w:val="clear" w:pos="420"/>
        </w:tabs>
      </w:pPr>
      <w:bookmarkStart w:id="3" w:name="_Toc58415524"/>
      <w:r>
        <w:rPr>
          <w:rFonts w:hint="eastAsia"/>
        </w:rPr>
        <w:t>企业认证</w:t>
      </w:r>
      <w:bookmarkEnd w:id="3"/>
      <w:r>
        <w:rPr>
          <w:rFonts w:hint="eastAsia"/>
        </w:rPr>
        <w:t xml:space="preserve"> </w:t>
      </w:r>
    </w:p>
    <w:p>
      <w:pPr>
        <w:pStyle w:val="59"/>
        <w:ind w:firstLine="480"/>
        <w:jc w:val="left"/>
        <w:sectPr>
          <w:pgSz w:w="11906" w:h="16838"/>
          <w:pgMar w:top="1440" w:right="1803" w:bottom="1440" w:left="1803" w:header="1134" w:footer="1264" w:gutter="0"/>
          <w:cols w:space="0" w:num="1"/>
          <w:docGrid w:linePitch="312" w:charSpace="0"/>
        </w:sectPr>
      </w:pPr>
      <w:r>
        <w:rPr>
          <w:rFonts w:hint="eastAsia"/>
        </w:rPr>
        <w:t>首次在工保网上进行投保的企业需要进行企业认证。</w:t>
      </w:r>
      <w:r>
        <w:drawing>
          <wp:inline distT="0" distB="0" distL="0" distR="0">
            <wp:extent cx="5270500" cy="5212080"/>
            <wp:effectExtent l="19050" t="19050" r="25400" b="266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0500" cy="5212080"/>
                    </a:xfrm>
                    <a:prstGeom prst="rect">
                      <a:avLst/>
                    </a:prstGeom>
                    <a:ln>
                      <a:solidFill>
                        <a:schemeClr val="bg1">
                          <a:lumMod val="85000"/>
                        </a:schemeClr>
                      </a:solidFill>
                    </a:ln>
                  </pic:spPr>
                </pic:pic>
              </a:graphicData>
            </a:graphic>
          </wp:inline>
        </w:drawing>
      </w:r>
    </w:p>
    <w:p>
      <w:pPr>
        <w:pStyle w:val="64"/>
      </w:pPr>
      <w:bookmarkStart w:id="4" w:name="_Toc58415525"/>
      <w:r>
        <w:rPr>
          <w:rFonts w:hint="eastAsia"/>
        </w:rPr>
        <w:t>立即投保</w:t>
      </w:r>
      <w:bookmarkEnd w:id="4"/>
    </w:p>
    <w:p>
      <w:pPr>
        <w:pStyle w:val="59"/>
        <w:ind w:firstLine="480"/>
        <w:rPr>
          <w:lang w:val="en-US"/>
        </w:rPr>
      </w:pPr>
      <w:r>
        <w:rPr>
          <w:rFonts w:hint="eastAsia"/>
          <w:lang w:val="en-US"/>
        </w:rPr>
        <w:t>用户需按照招标文件上的项目类型进行选择，，确认保证金金额及投标有效期，无误后点击【确认】-【下一步】。</w:t>
      </w:r>
    </w:p>
    <w:p>
      <w:pPr>
        <w:pStyle w:val="59"/>
        <w:ind w:firstLine="0" w:firstLineChars="0"/>
        <w:jc w:val="left"/>
        <w:sectPr>
          <w:pgSz w:w="11906" w:h="16838"/>
          <w:pgMar w:top="1440" w:right="1803" w:bottom="1440" w:left="1803" w:header="1134" w:footer="1264" w:gutter="0"/>
          <w:cols w:space="0" w:num="1"/>
          <w:docGrid w:linePitch="312" w:charSpace="0"/>
        </w:sectPr>
      </w:pPr>
      <w:r>
        <w:drawing>
          <wp:inline distT="0" distB="0" distL="0" distR="0">
            <wp:extent cx="5270500" cy="2474595"/>
            <wp:effectExtent l="19050" t="19050" r="25400" b="209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0500" cy="2474595"/>
                    </a:xfrm>
                    <a:prstGeom prst="rect">
                      <a:avLst/>
                    </a:prstGeom>
                    <a:ln>
                      <a:solidFill>
                        <a:schemeClr val="bg1">
                          <a:lumMod val="85000"/>
                        </a:schemeClr>
                      </a:solidFill>
                    </a:ln>
                  </pic:spPr>
                </pic:pic>
              </a:graphicData>
            </a:graphic>
          </wp:inline>
        </w:drawing>
      </w:r>
      <w:r>
        <w:drawing>
          <wp:inline distT="0" distB="0" distL="0" distR="0">
            <wp:extent cx="5270500" cy="3400425"/>
            <wp:effectExtent l="19050" t="19050" r="25400" b="285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0" cy="3400425"/>
                    </a:xfrm>
                    <a:prstGeom prst="rect">
                      <a:avLst/>
                    </a:prstGeom>
                    <a:ln>
                      <a:solidFill>
                        <a:schemeClr val="bg1">
                          <a:lumMod val="85000"/>
                        </a:schemeClr>
                      </a:solidFill>
                    </a:ln>
                  </pic:spPr>
                </pic:pic>
              </a:graphicData>
            </a:graphic>
          </wp:inline>
        </w:drawing>
      </w:r>
    </w:p>
    <w:p>
      <w:pPr>
        <w:pStyle w:val="59"/>
        <w:ind w:firstLine="480"/>
        <w:jc w:val="left"/>
      </w:pPr>
      <w:r>
        <w:rPr>
          <w:rFonts w:hint="eastAsia"/>
        </w:rPr>
        <w:t>用户点击【我已阅读投保须知并同意】，</w:t>
      </w:r>
      <w:r>
        <w:t>填写</w:t>
      </w:r>
      <w:r>
        <w:rPr>
          <w:rFonts w:hint="eastAsia"/>
        </w:rPr>
        <w:t>“手机号码”、“验证码”及“手机验证码”，点击【确认投保】</w:t>
      </w:r>
      <w:r>
        <w:t>。</w:t>
      </w:r>
    </w:p>
    <w:p>
      <w:pPr>
        <w:pStyle w:val="59"/>
        <w:ind w:firstLine="0" w:firstLineChars="0"/>
        <w:jc w:val="left"/>
        <w:sectPr>
          <w:pgSz w:w="11906" w:h="16838"/>
          <w:pgMar w:top="1440" w:right="1803" w:bottom="1440" w:left="1803" w:header="1134" w:footer="1264" w:gutter="0"/>
          <w:cols w:space="0" w:num="1"/>
          <w:docGrid w:linePitch="312" w:charSpace="0"/>
        </w:sectPr>
      </w:pPr>
      <w:r>
        <w:drawing>
          <wp:inline distT="0" distB="0" distL="0" distR="0">
            <wp:extent cx="5270500" cy="3399155"/>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0500" cy="3399155"/>
                    </a:xfrm>
                    <a:prstGeom prst="rect">
                      <a:avLst/>
                    </a:prstGeom>
                  </pic:spPr>
                </pic:pic>
              </a:graphicData>
            </a:graphic>
          </wp:inline>
        </w:drawing>
      </w:r>
      <w:r>
        <w:drawing>
          <wp:inline distT="0" distB="0" distL="0" distR="0">
            <wp:extent cx="5270500" cy="3119120"/>
            <wp:effectExtent l="19050" t="19050" r="25400" b="241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0500" cy="3119120"/>
                    </a:xfrm>
                    <a:prstGeom prst="rect">
                      <a:avLst/>
                    </a:prstGeom>
                    <a:ln>
                      <a:solidFill>
                        <a:schemeClr val="bg1">
                          <a:lumMod val="85000"/>
                        </a:schemeClr>
                      </a:solidFill>
                    </a:ln>
                  </pic:spPr>
                </pic:pic>
              </a:graphicData>
            </a:graphic>
          </wp:inline>
        </w:drawing>
      </w:r>
    </w:p>
    <w:p>
      <w:pPr>
        <w:pStyle w:val="64"/>
        <w:tabs>
          <w:tab w:val="clear" w:pos="420"/>
        </w:tabs>
      </w:pPr>
      <w:bookmarkStart w:id="5" w:name="_Toc58415526"/>
      <w:bookmarkStart w:id="6" w:name="_Toc261432544_WPSOffice_Level2"/>
      <w:r>
        <w:rPr>
          <w:rFonts w:hint="eastAsia"/>
        </w:rPr>
        <w:t>缴纳保费</w:t>
      </w:r>
      <w:bookmarkEnd w:id="5"/>
      <w:bookmarkEnd w:id="6"/>
    </w:p>
    <w:p>
      <w:pPr>
        <w:pStyle w:val="59"/>
        <w:ind w:firstLine="480"/>
        <w:jc w:val="left"/>
      </w:pPr>
      <w:r>
        <w:rPr>
          <w:rFonts w:hint="eastAsia"/>
        </w:rPr>
        <w:t>系统审核通过后，点击【立即支付】</w:t>
      </w:r>
      <w:r>
        <w:t>。</w:t>
      </w:r>
      <w:r>
        <w:rPr>
          <w:rFonts w:hint="eastAsia"/>
          <w:b/>
          <w:bCs/>
          <w:color w:val="FF0000"/>
          <w:lang w:val="en-US"/>
        </w:rPr>
        <w:t>（</w:t>
      </w:r>
      <w:r>
        <w:rPr>
          <w:b/>
          <w:bCs/>
          <w:color w:val="FF0000"/>
        </w:rPr>
        <w:t>建议在保证金缴纳截止日期前24小时支付</w:t>
      </w:r>
      <w:r>
        <w:rPr>
          <w:rFonts w:hint="eastAsia"/>
          <w:b/>
          <w:bCs/>
          <w:color w:val="FF0000"/>
          <w:lang w:val="en-US"/>
        </w:rPr>
        <w:t>）</w:t>
      </w:r>
      <w:r>
        <w:drawing>
          <wp:inline distT="0" distB="0" distL="0" distR="0">
            <wp:extent cx="5270500" cy="3741420"/>
            <wp:effectExtent l="19050" t="19050" r="25400"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0500" cy="3741420"/>
                    </a:xfrm>
                    <a:prstGeom prst="rect">
                      <a:avLst/>
                    </a:prstGeom>
                    <a:ln>
                      <a:solidFill>
                        <a:schemeClr val="bg1">
                          <a:lumMod val="85000"/>
                        </a:schemeClr>
                      </a:solidFill>
                    </a:ln>
                  </pic:spPr>
                </pic:pic>
              </a:graphicData>
            </a:graphic>
          </wp:inline>
        </w:drawing>
      </w:r>
    </w:p>
    <w:p>
      <w:pPr>
        <w:pStyle w:val="59"/>
        <w:ind w:firstLine="480"/>
        <w:sectPr>
          <w:pgSz w:w="11906" w:h="16838"/>
          <w:pgMar w:top="1440" w:right="1803" w:bottom="1440" w:left="1803" w:header="1134" w:footer="1264" w:gutter="0"/>
          <w:cols w:space="0" w:num="1"/>
          <w:docGrid w:linePitch="312" w:charSpace="0"/>
        </w:sectPr>
      </w:pPr>
    </w:p>
    <w:p>
      <w:pPr>
        <w:pStyle w:val="59"/>
        <w:ind w:firstLine="480"/>
      </w:pPr>
      <w:r>
        <w:rPr>
          <w:rFonts w:hint="eastAsia"/>
        </w:rPr>
        <w:t>支付成功后，</w:t>
      </w:r>
      <w:r>
        <w:t>用户可点击</w:t>
      </w:r>
      <w:r>
        <w:rPr>
          <w:rFonts w:hint="eastAsia"/>
        </w:rPr>
        <w:t>【下载保单】下载</w:t>
      </w:r>
      <w:r>
        <w:rPr>
          <w:rFonts w:hint="eastAsia"/>
          <w:color w:val="FF0000"/>
        </w:rPr>
        <w:t>加密保单</w:t>
      </w:r>
      <w:r>
        <w:rPr>
          <w:rFonts w:hint="eastAsia"/>
        </w:rPr>
        <w:t>。</w:t>
      </w:r>
    </w:p>
    <w:p>
      <w:pPr>
        <w:pStyle w:val="59"/>
        <w:ind w:firstLine="0" w:firstLineChars="0"/>
        <w:jc w:val="left"/>
      </w:pPr>
      <w:r>
        <mc:AlternateContent>
          <mc:Choice Requires="wps">
            <w:drawing>
              <wp:anchor distT="0" distB="0" distL="114300" distR="114300" simplePos="0" relativeHeight="251663360" behindDoc="0" locked="0" layoutInCell="1" allowOverlap="1">
                <wp:simplePos x="0" y="0"/>
                <wp:positionH relativeFrom="column">
                  <wp:posOffset>4487545</wp:posOffset>
                </wp:positionH>
                <wp:positionV relativeFrom="paragraph">
                  <wp:posOffset>560070</wp:posOffset>
                </wp:positionV>
                <wp:extent cx="539750" cy="215900"/>
                <wp:effectExtent l="0" t="0" r="12700" b="12700"/>
                <wp:wrapNone/>
                <wp:docPr id="24" name="矩形 24"/>
                <wp:cNvGraphicFramePr/>
                <a:graphic xmlns:a="http://schemas.openxmlformats.org/drawingml/2006/main">
                  <a:graphicData uri="http://schemas.microsoft.com/office/word/2010/wordprocessingShape">
                    <wps:wsp>
                      <wps:cNvSpPr/>
                      <wps:spPr>
                        <a:xfrm>
                          <a:off x="0" y="0"/>
                          <a:ext cx="53975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35pt;margin-top:44.1pt;height:17pt;width:42.5pt;z-index:251663360;v-text-anchor:middle;mso-width-relative:page;mso-height-relative:page;" filled="f" stroked="t" coordsize="21600,21600" o:gfxdata="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qJ42T1gAAAAoBAAAPAAAAAAAAAAEAIAAAACIAAABkcnMvZG93bnJldi54bWxQ&#10;SwECFAAUAAAACACHTuJAWUhieWsCAADMBAAADgAAAAAAAAABACAAAAAlAQAAZHJzL2Uyb0RvYy54&#10;bWxQSwUGAAAAAAYABgBZAQAAAgYAAAAA&#10;">
                <v:fill on="f" focussize="0,0"/>
                <v:stroke weight="1pt" color="#FF0000 [3204]" miterlimit="8" joinstyle="miter"/>
                <v:imagedata o:title=""/>
                <o:lock v:ext="edit" aspectratio="f"/>
              </v:rect>
            </w:pict>
          </mc:Fallback>
        </mc:AlternateContent>
      </w:r>
      <w:r>
        <w:drawing>
          <wp:inline distT="0" distB="0" distL="0" distR="0">
            <wp:extent cx="5270500" cy="3897630"/>
            <wp:effectExtent l="19050" t="19050" r="25400" b="266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0" cy="3897630"/>
                    </a:xfrm>
                    <a:prstGeom prst="rect">
                      <a:avLst/>
                    </a:prstGeom>
                    <a:ln>
                      <a:solidFill>
                        <a:schemeClr val="bg1">
                          <a:lumMod val="85000"/>
                        </a:schemeClr>
                      </a:solidFill>
                    </a:ln>
                  </pic:spPr>
                </pic:pic>
              </a:graphicData>
            </a:graphic>
          </wp:inline>
        </w:drawing>
      </w:r>
    </w:p>
    <w:p>
      <w:pPr>
        <w:pStyle w:val="64"/>
        <w:tabs>
          <w:tab w:val="clear" w:pos="420"/>
        </w:tabs>
        <w:sectPr>
          <w:pgSz w:w="11906" w:h="16838"/>
          <w:pgMar w:top="1440" w:right="1803" w:bottom="1440" w:left="1803" w:header="1134" w:footer="1264" w:gutter="0"/>
          <w:cols w:space="0" w:num="1"/>
          <w:docGrid w:linePitch="312" w:charSpace="0"/>
        </w:sectPr>
      </w:pPr>
      <w:bookmarkStart w:id="7" w:name="_Toc145225246_WPSOffice_Level2"/>
    </w:p>
    <w:p>
      <w:pPr>
        <w:pStyle w:val="64"/>
        <w:tabs>
          <w:tab w:val="clear" w:pos="420"/>
        </w:tabs>
      </w:pPr>
      <w:bookmarkStart w:id="8" w:name="_Toc58415527"/>
      <w:r>
        <w:rPr>
          <w:rFonts w:hint="eastAsia"/>
        </w:rPr>
        <w:t>下载保单</w:t>
      </w:r>
      <w:bookmarkEnd w:id="7"/>
      <w:bookmarkEnd w:id="8"/>
    </w:p>
    <w:p>
      <w:pPr>
        <w:pStyle w:val="59"/>
        <w:ind w:firstLine="480"/>
      </w:pPr>
      <w:r>
        <w:rPr>
          <w:rFonts w:hint="eastAsia"/>
          <w:color w:val="FF0000"/>
        </w:rPr>
        <w:t>在开标后</w:t>
      </w:r>
      <w:r>
        <w:rPr>
          <w:rFonts w:hint="eastAsia"/>
        </w:rPr>
        <w:t>，用户可在天水</w:t>
      </w:r>
      <w:r>
        <w:t>市公共资源交易电子保函</w:t>
      </w:r>
      <w:r>
        <w:rPr>
          <w:rFonts w:hint="eastAsia"/>
        </w:rPr>
        <w:t>平台点击【</w:t>
      </w:r>
      <w:r>
        <w:t>我的保函</w:t>
      </w:r>
      <w:r>
        <w:rPr>
          <w:rFonts w:hint="eastAsia"/>
        </w:rPr>
        <w:t>】，</w:t>
      </w:r>
      <w:r>
        <w:t>勾选对应的订单，点击【查看保单】，</w:t>
      </w:r>
      <w:r>
        <w:rPr>
          <w:rFonts w:hint="eastAsia"/>
        </w:rPr>
        <w:t>进入订单详情页后，点击【下载保单】下载</w:t>
      </w:r>
      <w:r>
        <w:rPr>
          <w:rFonts w:hint="eastAsia"/>
          <w:color w:val="FF0000"/>
        </w:rPr>
        <w:t>解密保单</w:t>
      </w:r>
      <w:r>
        <w:t>。</w:t>
      </w:r>
    </w:p>
    <w:p>
      <w:pPr>
        <w:pStyle w:val="59"/>
        <w:ind w:firstLine="0" w:firstLineChars="0"/>
      </w:pPr>
      <w:r>
        <w:drawing>
          <wp:inline distT="0" distB="0" distL="0" distR="0">
            <wp:extent cx="5270500" cy="1718945"/>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0500" cy="1718945"/>
                    </a:xfrm>
                    <a:prstGeom prst="rect">
                      <a:avLst/>
                    </a:prstGeom>
                  </pic:spPr>
                </pic:pic>
              </a:graphicData>
            </a:graphic>
          </wp:inline>
        </w:drawing>
      </w:r>
    </w:p>
    <w:p>
      <w:pPr>
        <w:pStyle w:val="59"/>
        <w:ind w:firstLine="480"/>
        <w:jc w:val="left"/>
        <w:sectPr>
          <w:pgSz w:w="11906" w:h="16838"/>
          <w:pgMar w:top="1440" w:right="1803" w:bottom="1440" w:left="1803" w:header="1134" w:footer="1264" w:gutter="0"/>
          <w:cols w:space="0" w:num="1"/>
          <w:docGrid w:linePitch="312" w:charSpace="0"/>
        </w:sectPr>
      </w:pPr>
      <w:r>
        <w:rPr>
          <w:rFonts w:hint="eastAsia"/>
        </w:rPr>
        <w:t>进入订单详情页后，点击【下载保单】下载</w:t>
      </w:r>
      <w:r>
        <w:rPr>
          <w:rFonts w:hint="eastAsia"/>
          <w:color w:val="FF0000"/>
        </w:rPr>
        <w:t>解密保单</w:t>
      </w:r>
      <w:r>
        <w:rPr>
          <w:rFonts w:hint="eastAsia"/>
        </w:rPr>
        <w:t>。</w:t>
      </w:r>
      <w:r>
        <w:drawing>
          <wp:inline distT="0" distB="0" distL="0" distR="0">
            <wp:extent cx="5270500" cy="3681095"/>
            <wp:effectExtent l="19050" t="19050" r="25400"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0500" cy="3681095"/>
                    </a:xfrm>
                    <a:prstGeom prst="rect">
                      <a:avLst/>
                    </a:prstGeom>
                    <a:ln>
                      <a:solidFill>
                        <a:schemeClr val="bg1">
                          <a:lumMod val="85000"/>
                        </a:schemeClr>
                      </a:solidFill>
                    </a:ln>
                  </pic:spPr>
                </pic:pic>
              </a:graphicData>
            </a:graphic>
          </wp:inline>
        </w:drawing>
      </w:r>
    </w:p>
    <w:p>
      <w:pPr>
        <w:pStyle w:val="59"/>
        <w:ind w:firstLine="480"/>
        <w:jc w:val="left"/>
      </w:pPr>
    </w:p>
    <w:p>
      <w:pPr>
        <w:pStyle w:val="61"/>
      </w:pPr>
      <w:bookmarkStart w:id="9" w:name="_Toc58415528"/>
      <w:bookmarkStart w:id="10" w:name="_Toc141058779_WPSOffice_Level1"/>
      <w:r>
        <w:rPr>
          <w:rFonts w:hint="eastAsia"/>
        </w:rPr>
        <w:t>退保操作流程</w:t>
      </w:r>
      <w:bookmarkEnd w:id="9"/>
      <w:bookmarkEnd w:id="10"/>
    </w:p>
    <w:p>
      <w:pPr>
        <w:pStyle w:val="64"/>
        <w:tabs>
          <w:tab w:val="clear" w:pos="420"/>
        </w:tabs>
      </w:pPr>
      <w:bookmarkStart w:id="11" w:name="_Toc1259286530_WPSOffice_Level2"/>
      <w:bookmarkStart w:id="12" w:name="_Toc58415529"/>
      <w:r>
        <w:rPr>
          <w:rFonts w:hint="eastAsia"/>
        </w:rPr>
        <w:t>退保规则</w:t>
      </w:r>
      <w:bookmarkEnd w:id="11"/>
      <w:bookmarkEnd w:id="12"/>
    </w:p>
    <w:p>
      <w:pPr>
        <w:pStyle w:val="59"/>
        <w:ind w:firstLine="480"/>
        <w:rPr>
          <w:color w:val="FF0000"/>
        </w:rPr>
      </w:pPr>
      <w:r>
        <w:rPr>
          <w:rFonts w:hint="eastAsia"/>
          <w:color w:val="FF0000"/>
        </w:rPr>
        <w:t>1.项目发生中止、暂停的，可进行退保；</w:t>
      </w:r>
    </w:p>
    <w:p>
      <w:pPr>
        <w:pStyle w:val="59"/>
        <w:ind w:firstLine="480"/>
        <w:rPr>
          <w:color w:val="FF0000"/>
        </w:rPr>
      </w:pPr>
      <w:r>
        <w:rPr>
          <w:rFonts w:hint="eastAsia"/>
          <w:color w:val="FF0000"/>
          <w:lang w:val="en-US" w:eastAsia="zh-CN"/>
        </w:rPr>
        <w:t>2</w:t>
      </w:r>
      <w:r>
        <w:rPr>
          <w:rFonts w:hint="eastAsia"/>
          <w:color w:val="FF0000"/>
        </w:rPr>
        <w:t>.开标后项目发生流标的，可进行退保；</w:t>
      </w:r>
    </w:p>
    <w:p>
      <w:pPr>
        <w:pStyle w:val="59"/>
        <w:ind w:firstLine="480"/>
        <w:rPr>
          <w:color w:val="FF0000"/>
        </w:rPr>
      </w:pPr>
      <w:r>
        <w:rPr>
          <w:rFonts w:hint="eastAsia"/>
          <w:color w:val="FF0000"/>
          <w:lang w:val="en-US" w:eastAsia="zh-CN"/>
        </w:rPr>
        <w:t>3</w:t>
      </w:r>
      <w:bookmarkStart w:id="25" w:name="_GoBack"/>
      <w:bookmarkEnd w:id="25"/>
      <w:r>
        <w:rPr>
          <w:rFonts w:hint="eastAsia"/>
          <w:color w:val="FF0000"/>
        </w:rPr>
        <w:t>.除上述情形外均不予退保。</w:t>
      </w:r>
    </w:p>
    <w:p>
      <w:pPr>
        <w:pStyle w:val="64"/>
        <w:tabs>
          <w:tab w:val="clear" w:pos="420"/>
        </w:tabs>
      </w:pPr>
      <w:bookmarkStart w:id="13" w:name="_Toc58415530"/>
      <w:bookmarkStart w:id="14" w:name="_Toc1377368525_WPSOffice_Level2"/>
      <w:r>
        <w:t>申请退保</w:t>
      </w:r>
      <w:bookmarkEnd w:id="13"/>
      <w:bookmarkEnd w:id="14"/>
    </w:p>
    <w:p>
      <w:pPr>
        <w:pStyle w:val="59"/>
        <w:ind w:firstLine="480"/>
        <w:jc w:val="left"/>
      </w:pPr>
      <w:r>
        <w:t>用户在投标截止时间前自主申请退保的，请在投保成功页面点击【申请退保】</w:t>
      </w:r>
      <w:r>
        <w:rPr>
          <w:rFonts w:hint="eastAsia"/>
        </w:rPr>
        <w:t>。</w:t>
      </w:r>
    </w:p>
    <w:p>
      <w:pPr>
        <w:pStyle w:val="59"/>
        <w:ind w:firstLine="0" w:firstLineChars="0"/>
      </w:pPr>
      <w:r>
        <w:rPr>
          <w:rFonts w:hint="eastAsia" w:ascii="仿宋" w:hAnsi="仿宋" w:eastAsia="仿宋" w:cs="仿宋"/>
          <w:sz w:val="28"/>
          <w:szCs w:val="28"/>
        </w:rPr>
        <w:drawing>
          <wp:inline distT="0" distB="0" distL="0" distR="0">
            <wp:extent cx="5270500" cy="1718945"/>
            <wp:effectExtent l="19050" t="19050" r="25400"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0500" cy="1718945"/>
                    </a:xfrm>
                    <a:prstGeom prst="rect">
                      <a:avLst/>
                    </a:prstGeom>
                    <a:ln>
                      <a:solidFill>
                        <a:schemeClr val="bg1">
                          <a:lumMod val="85000"/>
                        </a:schemeClr>
                      </a:solidFill>
                    </a:ln>
                  </pic:spPr>
                </pic:pic>
              </a:graphicData>
            </a:graphic>
          </wp:inline>
        </w:drawing>
      </w:r>
      <w:r>
        <w:rPr>
          <w:rFonts w:hint="eastAsia" w:ascii="仿宋" w:hAnsi="仿宋" w:eastAsia="仿宋" w:cs="仿宋"/>
          <w:sz w:val="28"/>
          <w:szCs w:val="28"/>
        </w:rPr>
        <w:drawing>
          <wp:inline distT="0" distB="0" distL="114300" distR="114300">
            <wp:extent cx="5266690" cy="1345565"/>
            <wp:effectExtent l="12700" t="12700" r="29210" b="13335"/>
            <wp:docPr id="48" name="图片 12" descr="/Users/jinming/Desktop/系统截图_V1.1/退保操作流程/00查看投保情况页面.jpg00查看投保情况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descr="/Users/jinming/Desktop/系统截图_V1.1/退保操作流程/00查看投保情况页面.jpg00查看投保情况页面"/>
                    <pic:cNvPicPr>
                      <a:picLocks noChangeAspect="1"/>
                    </pic:cNvPicPr>
                  </pic:nvPicPr>
                  <pic:blipFill>
                    <a:blip r:embed="rId25"/>
                    <a:srcRect b="10628"/>
                    <a:stretch>
                      <a:fillRect/>
                    </a:stretch>
                  </pic:blipFill>
                  <pic:spPr>
                    <a:xfrm>
                      <a:off x="0" y="0"/>
                      <a:ext cx="5266690" cy="1345565"/>
                    </a:xfrm>
                    <a:prstGeom prst="rect">
                      <a:avLst/>
                    </a:prstGeom>
                    <a:noFill/>
                    <a:ln w="9525" cap="flat" cmpd="sng">
                      <a:solidFill>
                        <a:srgbClr val="D9D9D9"/>
                      </a:solidFill>
                      <a:prstDash val="solid"/>
                      <a:miter/>
                      <a:headEnd type="none" w="med" len="med"/>
                      <a:tailEnd type="none" w="med" len="med"/>
                    </a:ln>
                  </pic:spPr>
                </pic:pic>
              </a:graphicData>
            </a:graphic>
          </wp:inline>
        </w:drawing>
      </w:r>
      <w:r>
        <mc:AlternateContent>
          <mc:Choice Requires="wps">
            <w:drawing>
              <wp:anchor distT="0" distB="0" distL="114300" distR="114300" simplePos="0" relativeHeight="251664384" behindDoc="0" locked="0" layoutInCell="1" allowOverlap="1">
                <wp:simplePos x="0" y="0"/>
                <wp:positionH relativeFrom="column">
                  <wp:posOffset>3914775</wp:posOffset>
                </wp:positionH>
                <wp:positionV relativeFrom="paragraph">
                  <wp:posOffset>538480</wp:posOffset>
                </wp:positionV>
                <wp:extent cx="560705" cy="247015"/>
                <wp:effectExtent l="0" t="0" r="10795" b="20320"/>
                <wp:wrapNone/>
                <wp:docPr id="30" name="矩形 30"/>
                <wp:cNvGraphicFramePr/>
                <a:graphic xmlns:a="http://schemas.openxmlformats.org/drawingml/2006/main">
                  <a:graphicData uri="http://schemas.microsoft.com/office/word/2010/wordprocessingShape">
                    <wps:wsp>
                      <wps:cNvSpPr/>
                      <wps:spPr>
                        <a:xfrm>
                          <a:off x="0" y="0"/>
                          <a:ext cx="560982" cy="2468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25pt;margin-top:42.4pt;height:19.45pt;width:44.15pt;z-index:251664384;v-text-anchor:middle;mso-width-relative:page;mso-height-relative:page;" filled="f" stroked="t" coordsize="21600,21600" o:gfxdata="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3/ytPWAAAACgEAAA8AAAAAAAAAAQAgAAAAIgAAAGRycy9kb3ducmV2Lnht&#10;bFBLAQIUABQAAAAIAIdO4kDsvHgkbQIAAMwEAAAOAAAAAAAAAAEAIAAAACUBAABkcnMvZTJvRG9j&#10;LnhtbFBLBQYAAAAABgAGAFkBAAAEBgAAAAA=&#10;">
                <v:fill on="f" focussize="0,0"/>
                <v:stroke weight="1pt" color="#FF0000 [3204]" miterlimit="8" joinstyle="miter"/>
                <v:imagedata o:title=""/>
                <o:lock v:ext="edit" aspectratio="f"/>
              </v:rect>
            </w:pict>
          </mc:Fallback>
        </mc:AlternateContent>
      </w:r>
      <w:r>
        <w:drawing>
          <wp:inline distT="0" distB="0" distL="0" distR="0">
            <wp:extent cx="5270500" cy="3897630"/>
            <wp:effectExtent l="19050" t="19050" r="25400" b="266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0" cy="3897630"/>
                    </a:xfrm>
                    <a:prstGeom prst="rect">
                      <a:avLst/>
                    </a:prstGeom>
                    <a:ln>
                      <a:solidFill>
                        <a:schemeClr val="bg1">
                          <a:lumMod val="85000"/>
                        </a:schemeClr>
                      </a:solidFill>
                    </a:ln>
                  </pic:spPr>
                </pic:pic>
              </a:graphicData>
            </a:graphic>
          </wp:inline>
        </w:drawing>
      </w:r>
    </w:p>
    <w:p>
      <w:pPr>
        <w:pStyle w:val="59"/>
        <w:ind w:firstLine="480"/>
        <w:jc w:val="left"/>
      </w:pPr>
      <w:r>
        <w:t>当项目发生异常时，支付宝、微信支付保费的，保费原路退回；网银支付保费的用户</w:t>
      </w:r>
      <w:r>
        <w:rPr>
          <w:rFonts w:hint="eastAsia"/>
        </w:rPr>
        <w:t>须在投保情况页面点击【填写退保账户信息】。</w:t>
      </w:r>
    </w:p>
    <w:p>
      <w:pPr>
        <w:pStyle w:val="59"/>
        <w:ind w:firstLine="0" w:firstLineChars="0"/>
        <w:jc w:val="left"/>
      </w:pPr>
      <w:r>
        <w:rPr>
          <w:rFonts w:hint="eastAsia"/>
        </w:rPr>
        <w:drawing>
          <wp:inline distT="0" distB="0" distL="0" distR="0">
            <wp:extent cx="5269865" cy="1416685"/>
            <wp:effectExtent l="19050" t="19050" r="26035"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cstate="print">
                      <a:extLst>
                        <a:ext uri="{28A0092B-C50C-407E-A947-70E740481C1C}">
                          <a14:useLocalDpi xmlns:a14="http://schemas.microsoft.com/office/drawing/2010/main" val="0"/>
                        </a:ext>
                      </a:extLst>
                    </a:blip>
                    <a:srcRect b="17553"/>
                    <a:stretch>
                      <a:fillRect/>
                    </a:stretch>
                  </pic:blipFill>
                  <pic:spPr>
                    <a:xfrm>
                      <a:off x="0" y="0"/>
                      <a:ext cx="5270500" cy="1417229"/>
                    </a:xfrm>
                    <a:prstGeom prst="rect">
                      <a:avLst/>
                    </a:prstGeom>
                    <a:ln w="9525" cap="flat" cmpd="sng" algn="ctr">
                      <a:solidFill>
                        <a:sysClr val="window" lastClr="FFFFFF">
                          <a:lumMod val="85000"/>
                        </a:sysClr>
                      </a:solidFill>
                      <a:prstDash val="solid"/>
                      <a:round/>
                      <a:headEnd type="none" w="med" len="med"/>
                      <a:tailEnd type="none" w="med" len="med"/>
                    </a:ln>
                  </pic:spPr>
                </pic:pic>
              </a:graphicData>
            </a:graphic>
          </wp:inline>
        </w:drawing>
      </w:r>
    </w:p>
    <w:p>
      <w:pPr>
        <w:pStyle w:val="59"/>
        <w:ind w:firstLine="0" w:firstLineChars="0"/>
        <w:jc w:val="left"/>
      </w:pPr>
      <w:r>
        <w:rPr>
          <w:rFonts w:hint="eastAsia"/>
        </w:rPr>
        <w:drawing>
          <wp:inline distT="0" distB="0" distL="114300" distR="114300">
            <wp:extent cx="5259705" cy="2376170"/>
            <wp:effectExtent l="19050" t="19050" r="17145" b="24130"/>
            <wp:docPr id="50" name="图片 14" descr="/Users/jinming/Desktop/系统截图_V1.0/退保操作流程/02退保填写账户的副本.png02退保填写账户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descr="/Users/jinming/Desktop/系统截图_V1.0/退保操作流程/02退保填写账户的副本.png02退保填写账户的副本"/>
                    <pic:cNvPicPr>
                      <a:picLocks noChangeAspect="1"/>
                    </pic:cNvPicPr>
                  </pic:nvPicPr>
                  <pic:blipFill>
                    <a:blip r:embed="rId26"/>
                    <a:srcRect b="-739"/>
                    <a:stretch>
                      <a:fillRect/>
                    </a:stretch>
                  </pic:blipFill>
                  <pic:spPr>
                    <a:xfrm>
                      <a:off x="0" y="0"/>
                      <a:ext cx="5260340" cy="2376477"/>
                    </a:xfrm>
                    <a:prstGeom prst="rect">
                      <a:avLst/>
                    </a:prstGeom>
                    <a:noFill/>
                    <a:ln w="9525" cap="flat" cmpd="sng" algn="ctr">
                      <a:solidFill>
                        <a:srgbClr val="D9D9D9"/>
                      </a:solidFill>
                      <a:prstDash val="solid"/>
                      <a:miter lim="800000"/>
                      <a:headEnd type="none" w="med" len="med"/>
                      <a:tailEnd type="none" w="med" len="med"/>
                    </a:ln>
                  </pic:spPr>
                </pic:pic>
              </a:graphicData>
            </a:graphic>
          </wp:inline>
        </w:drawing>
      </w:r>
    </w:p>
    <w:p>
      <w:pPr>
        <w:pStyle w:val="64"/>
        <w:tabs>
          <w:tab w:val="clear" w:pos="420"/>
        </w:tabs>
      </w:pPr>
      <w:bookmarkStart w:id="15" w:name="_Toc1706568662_WPSOffice_Level2"/>
      <w:bookmarkStart w:id="16" w:name="_Toc58415531"/>
      <w:r>
        <w:t>提交审核</w:t>
      </w:r>
      <w:bookmarkEnd w:id="15"/>
      <w:bookmarkEnd w:id="16"/>
    </w:p>
    <w:p>
      <w:pPr>
        <w:pStyle w:val="59"/>
        <w:ind w:firstLine="480"/>
        <w:rPr>
          <w:rFonts w:ascii="仿宋" w:hAnsi="仿宋" w:eastAsia="仿宋" w:cs="仿宋"/>
          <w:b/>
          <w:bCs/>
          <w:sz w:val="28"/>
          <w:szCs w:val="28"/>
        </w:rPr>
      </w:pPr>
      <w:r>
        <w:rPr>
          <w:rFonts w:hint="eastAsia"/>
        </w:rPr>
        <w:t>提交退保信息后，经过保险公司审核，进行退款，退款完成后显示退保成功。</w:t>
      </w:r>
      <w:r>
        <w:rPr>
          <w:rFonts w:hint="eastAsia" w:ascii="仿宋" w:hAnsi="仿宋" w:eastAsia="仿宋" w:cs="仿宋"/>
          <w:b/>
          <w:bCs/>
          <w:sz w:val="28"/>
          <w:szCs w:val="28"/>
        </w:rPr>
        <w:drawing>
          <wp:inline distT="0" distB="0" distL="114300" distR="114300">
            <wp:extent cx="5266690" cy="4341495"/>
            <wp:effectExtent l="12700" t="12700" r="29210" b="14605"/>
            <wp:docPr id="52" name="图片 16" descr="/工作/系统对接/长沙投标对接/原型/长沙电子保函-UI稿-导出-0603/长沙公共资源交易中心-退保申请-退保成功.jpg长沙公共资源交易中心-退保申请-退保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descr="/工作/系统对接/长沙投标对接/原型/长沙电子保函-UI稿-导出-0603/长沙公共资源交易中心-退保申请-退保成功.jpg长沙公共资源交易中心-退保申请-退保成功"/>
                    <pic:cNvPicPr>
                      <a:picLocks noChangeAspect="1"/>
                    </pic:cNvPicPr>
                  </pic:nvPicPr>
                  <pic:blipFill>
                    <a:blip r:embed="rId27"/>
                    <a:srcRect l="17604" t="5368" r="17874" b="10461"/>
                    <a:stretch>
                      <a:fillRect/>
                    </a:stretch>
                  </pic:blipFill>
                  <pic:spPr>
                    <a:xfrm>
                      <a:off x="0" y="0"/>
                      <a:ext cx="5266690" cy="4341495"/>
                    </a:xfrm>
                    <a:prstGeom prst="rect">
                      <a:avLst/>
                    </a:prstGeom>
                    <a:noFill/>
                    <a:ln w="9525" cap="flat" cmpd="sng">
                      <a:solidFill>
                        <a:srgbClr val="D9D9D9"/>
                      </a:solidFill>
                      <a:prstDash val="solid"/>
                      <a:miter/>
                      <a:headEnd type="none" w="med" len="med"/>
                      <a:tailEnd type="none" w="med" len="med"/>
                    </a:ln>
                  </pic:spPr>
                </pic:pic>
              </a:graphicData>
            </a:graphic>
          </wp:inline>
        </w:drawing>
      </w:r>
    </w:p>
    <w:p>
      <w:pPr>
        <w:pStyle w:val="61"/>
        <w:sectPr>
          <w:pgSz w:w="11906" w:h="16838"/>
          <w:pgMar w:top="1440" w:right="1803" w:bottom="1440" w:left="1803" w:header="1134" w:footer="1264" w:gutter="0"/>
          <w:cols w:space="0" w:num="1"/>
          <w:docGrid w:linePitch="312" w:charSpace="0"/>
        </w:sectPr>
      </w:pPr>
    </w:p>
    <w:p>
      <w:pPr>
        <w:pStyle w:val="61"/>
      </w:pPr>
      <w:bookmarkStart w:id="17" w:name="_Toc58415532"/>
      <w:bookmarkStart w:id="18" w:name="_Toc2100436012_WPSOffice_Level1"/>
      <w:r>
        <w:rPr>
          <w:rFonts w:hint="eastAsia"/>
        </w:rPr>
        <w:t>发票申请流程</w:t>
      </w:r>
      <w:bookmarkEnd w:id="17"/>
      <w:bookmarkEnd w:id="18"/>
    </w:p>
    <w:p>
      <w:pPr>
        <w:pStyle w:val="64"/>
        <w:tabs>
          <w:tab w:val="clear" w:pos="420"/>
        </w:tabs>
      </w:pPr>
      <w:bookmarkStart w:id="19" w:name="_Toc58415533"/>
      <w:bookmarkStart w:id="20" w:name="_Toc507912902_WPSOffice_Level2"/>
      <w:r>
        <w:t>申请发票</w:t>
      </w:r>
      <w:bookmarkEnd w:id="19"/>
      <w:bookmarkEnd w:id="20"/>
    </w:p>
    <w:p>
      <w:pPr>
        <w:pStyle w:val="59"/>
        <w:ind w:firstLine="480"/>
        <w:jc w:val="left"/>
      </w:pPr>
      <w:r>
        <w:rPr>
          <w:rFonts w:hint="eastAsia"/>
        </w:rPr>
        <w:t>在开标后，投保人进入订单详情页，点击【申请发票】。</w:t>
      </w:r>
      <w:r>
        <w:rPr>
          <w:rFonts w:hint="eastAsia" w:ascii="仿宋" w:hAnsi="仿宋" w:eastAsia="仿宋" w:cs="仿宋"/>
          <w:sz w:val="28"/>
          <w:szCs w:val="28"/>
        </w:rPr>
        <w:drawing>
          <wp:inline distT="0" distB="0" distL="0" distR="0">
            <wp:extent cx="5270500" cy="1718945"/>
            <wp:effectExtent l="19050" t="19050" r="25400" b="146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0500" cy="1718945"/>
                    </a:xfrm>
                    <a:prstGeom prst="rect">
                      <a:avLst/>
                    </a:prstGeom>
                    <a:ln>
                      <a:solidFill>
                        <a:schemeClr val="bg1">
                          <a:lumMod val="85000"/>
                        </a:schemeClr>
                      </a:solidFill>
                    </a:ln>
                  </pic:spPr>
                </pic:pic>
              </a:graphicData>
            </a:graphic>
          </wp:inline>
        </w:drawing>
      </w:r>
      <w:r>
        <w:rPr>
          <w:rFonts w:hint="eastAsia" w:ascii="仿宋" w:hAnsi="仿宋" w:eastAsia="仿宋" w:cs="仿宋"/>
          <w:sz w:val="28"/>
          <w:szCs w:val="28"/>
        </w:rPr>
        <w:drawing>
          <wp:inline distT="0" distB="0" distL="114300" distR="114300">
            <wp:extent cx="5266690" cy="1241425"/>
            <wp:effectExtent l="12700" t="12700" r="29210" b="15875"/>
            <wp:docPr id="54" name="图片 18" descr="C:\Users\Administrator\Desktop\长沙\长沙公共资源交易中心-保证保险-保证保险概况-已完成投保 已开标.jpg长沙公共资源交易中心-保证保险-保证保险概况-已完成投保 已开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descr="C:\Users\Administrator\Desktop\长沙\长沙公共资源交易中心-保证保险-保证保险概况-已完成投保 已开标.jpg长沙公共资源交易中心-保证保险-保证保险概况-已完成投保 已开标"/>
                    <pic:cNvPicPr>
                      <a:picLocks noChangeAspect="1"/>
                    </pic:cNvPicPr>
                  </pic:nvPicPr>
                  <pic:blipFill>
                    <a:blip r:embed="rId28"/>
                    <a:stretch>
                      <a:fillRect/>
                    </a:stretch>
                  </pic:blipFill>
                  <pic:spPr>
                    <a:xfrm>
                      <a:off x="0" y="0"/>
                      <a:ext cx="5266690" cy="1241425"/>
                    </a:xfrm>
                    <a:prstGeom prst="rect">
                      <a:avLst/>
                    </a:prstGeom>
                    <a:noFill/>
                    <a:ln w="9525" cap="flat" cmpd="sng">
                      <a:solidFill>
                        <a:srgbClr val="D9D9D9"/>
                      </a:solidFill>
                      <a:prstDash val="solid"/>
                      <a:miter/>
                      <a:headEnd type="none" w="med" len="med"/>
                      <a:tailEnd type="none" w="med" len="med"/>
                    </a:ln>
                  </pic:spPr>
                </pic:pic>
              </a:graphicData>
            </a:graphic>
          </wp:inline>
        </w:drawing>
      </w:r>
      <w:r>
        <w:drawing>
          <wp:inline distT="0" distB="0" distL="0" distR="0">
            <wp:extent cx="5270500" cy="3717925"/>
            <wp:effectExtent l="19050" t="19050" r="25400"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0500" cy="3717925"/>
                    </a:xfrm>
                    <a:prstGeom prst="rect">
                      <a:avLst/>
                    </a:prstGeom>
                    <a:ln>
                      <a:solidFill>
                        <a:schemeClr val="bg1">
                          <a:lumMod val="85000"/>
                        </a:schemeClr>
                      </a:solidFill>
                    </a:ln>
                  </pic:spPr>
                </pic:pic>
              </a:graphicData>
            </a:graphic>
          </wp:inline>
        </w:drawing>
      </w:r>
    </w:p>
    <w:p>
      <w:pPr>
        <w:pStyle w:val="59"/>
        <w:ind w:firstLine="480"/>
        <w:jc w:val="left"/>
      </w:pPr>
    </w:p>
    <w:p>
      <w:pPr>
        <w:pStyle w:val="64"/>
        <w:tabs>
          <w:tab w:val="clear" w:pos="420"/>
        </w:tabs>
      </w:pPr>
      <w:bookmarkStart w:id="21" w:name="_Toc244647089_WPSOffice_Level2"/>
      <w:bookmarkStart w:id="22" w:name="_Toc58415534"/>
      <w:r>
        <w:t>填写发票信息</w:t>
      </w:r>
      <w:bookmarkEnd w:id="21"/>
      <w:bookmarkEnd w:id="22"/>
    </w:p>
    <w:p>
      <w:pPr>
        <w:pStyle w:val="59"/>
        <w:ind w:firstLine="480"/>
        <w:jc w:val="left"/>
        <w:rPr>
          <w:rFonts w:ascii="仿宋" w:hAnsi="仿宋" w:eastAsia="仿宋" w:cs="仿宋"/>
          <w:b/>
          <w:bCs/>
          <w:sz w:val="28"/>
          <w:szCs w:val="28"/>
        </w:rPr>
      </w:pPr>
      <w:r>
        <w:rPr>
          <w:rFonts w:hint="eastAsia"/>
        </w:rPr>
        <w:t>电子发票只支持普通发票，纸质发票可以选择增值税普通发票和增值税专用发票。</w:t>
      </w:r>
    </w:p>
    <w:p>
      <w:pPr>
        <w:pStyle w:val="59"/>
        <w:ind w:firstLine="0" w:firstLineChars="0"/>
        <w:jc w:val="left"/>
        <w:rPr>
          <w:rFonts w:ascii="仿宋" w:hAnsi="仿宋" w:eastAsia="仿宋" w:cs="仿宋"/>
          <w:b/>
          <w:bCs/>
          <w:sz w:val="28"/>
          <w:szCs w:val="28"/>
        </w:rPr>
      </w:pPr>
      <w:r>
        <w:drawing>
          <wp:inline distT="0" distB="0" distL="0" distR="0">
            <wp:extent cx="1626870" cy="2339975"/>
            <wp:effectExtent l="19050" t="19050" r="11430" b="22225"/>
            <wp:docPr id="56" name="图片 20" descr="C:\Users\Administrator\Desktop\图片11.jpg图片11"/>
            <wp:cNvGraphicFramePr/>
            <a:graphic xmlns:a="http://schemas.openxmlformats.org/drawingml/2006/main">
              <a:graphicData uri="http://schemas.openxmlformats.org/drawingml/2006/picture">
                <pic:pic xmlns:pic="http://schemas.openxmlformats.org/drawingml/2006/picture">
                  <pic:nvPicPr>
                    <pic:cNvPr id="56" name="图片 20" descr="C:\Users\Administrator\Desktop\图片11.jpg图片11"/>
                    <pic:cNvPicPr/>
                  </pic:nvPicPr>
                  <pic:blipFill>
                    <a:blip r:embed="rId30"/>
                    <a:srcRect/>
                    <a:stretch>
                      <a:fillRect/>
                    </a:stretch>
                  </pic:blipFill>
                  <pic:spPr>
                    <a:xfrm>
                      <a:off x="0" y="0"/>
                      <a:ext cx="1626870" cy="2339975"/>
                    </a:xfrm>
                    <a:prstGeom prst="rect">
                      <a:avLst/>
                    </a:prstGeom>
                    <a:noFill/>
                    <a:ln w="9525" cap="flat" cmpd="sng">
                      <a:solidFill>
                        <a:srgbClr val="D9D9D9"/>
                      </a:solidFill>
                      <a:prstDash val="solid"/>
                      <a:miter/>
                      <a:headEnd type="none" w="med" len="med"/>
                      <a:tailEnd type="none" w="med" len="med"/>
                    </a:ln>
                  </pic:spPr>
                </pic:pic>
              </a:graphicData>
            </a:graphic>
          </wp:inline>
        </w:drawing>
      </w:r>
      <w:r>
        <w:drawing>
          <wp:inline distT="0" distB="0" distL="0" distR="0">
            <wp:extent cx="1626870" cy="2339975"/>
            <wp:effectExtent l="19050" t="19050" r="11430" b="22225"/>
            <wp:docPr id="57" name="图片 21" descr="C:\Users\Administrator\Desktop\图片22.jpg图片22"/>
            <wp:cNvGraphicFramePr/>
            <a:graphic xmlns:a="http://schemas.openxmlformats.org/drawingml/2006/main">
              <a:graphicData uri="http://schemas.openxmlformats.org/drawingml/2006/picture">
                <pic:pic xmlns:pic="http://schemas.openxmlformats.org/drawingml/2006/picture">
                  <pic:nvPicPr>
                    <pic:cNvPr id="57" name="图片 21" descr="C:\Users\Administrator\Desktop\图片22.jpg图片22"/>
                    <pic:cNvPicPr/>
                  </pic:nvPicPr>
                  <pic:blipFill>
                    <a:blip r:embed="rId31"/>
                    <a:srcRect/>
                    <a:stretch>
                      <a:fillRect/>
                    </a:stretch>
                  </pic:blipFill>
                  <pic:spPr>
                    <a:xfrm>
                      <a:off x="0" y="0"/>
                      <a:ext cx="1626870" cy="2339975"/>
                    </a:xfrm>
                    <a:prstGeom prst="rect">
                      <a:avLst/>
                    </a:prstGeom>
                    <a:noFill/>
                    <a:ln w="9525" cap="flat" cmpd="sng">
                      <a:solidFill>
                        <a:srgbClr val="D9D9D9"/>
                      </a:solidFill>
                      <a:prstDash val="solid"/>
                      <a:miter/>
                      <a:headEnd type="none" w="med" len="med"/>
                      <a:tailEnd type="none" w="med" len="med"/>
                    </a:ln>
                  </pic:spPr>
                </pic:pic>
              </a:graphicData>
            </a:graphic>
          </wp:inline>
        </w:drawing>
      </w:r>
      <w:r>
        <w:drawing>
          <wp:inline distT="0" distB="0" distL="0" distR="0">
            <wp:extent cx="1626870" cy="2339975"/>
            <wp:effectExtent l="19050" t="19050" r="11430" b="22225"/>
            <wp:docPr id="58" name="图片 22" descr="C:\Users\Administrator\Desktop\图片33.jpg图片33"/>
            <wp:cNvGraphicFramePr/>
            <a:graphic xmlns:a="http://schemas.openxmlformats.org/drawingml/2006/main">
              <a:graphicData uri="http://schemas.openxmlformats.org/drawingml/2006/picture">
                <pic:pic xmlns:pic="http://schemas.openxmlformats.org/drawingml/2006/picture">
                  <pic:nvPicPr>
                    <pic:cNvPr id="58" name="图片 22" descr="C:\Users\Administrator\Desktop\图片33.jpg图片33"/>
                    <pic:cNvPicPr/>
                  </pic:nvPicPr>
                  <pic:blipFill>
                    <a:blip r:embed="rId32"/>
                    <a:srcRect/>
                    <a:stretch>
                      <a:fillRect/>
                    </a:stretch>
                  </pic:blipFill>
                  <pic:spPr>
                    <a:xfrm>
                      <a:off x="0" y="0"/>
                      <a:ext cx="1626870" cy="2339975"/>
                    </a:xfrm>
                    <a:prstGeom prst="rect">
                      <a:avLst/>
                    </a:prstGeom>
                    <a:noFill/>
                    <a:ln w="9525" cap="flat" cmpd="sng">
                      <a:solidFill>
                        <a:srgbClr val="D9D9D9"/>
                      </a:solidFill>
                      <a:prstDash val="solid"/>
                      <a:miter/>
                      <a:headEnd type="none" w="med" len="med"/>
                      <a:tailEnd type="none" w="med" len="med"/>
                    </a:ln>
                  </pic:spPr>
                </pic:pic>
              </a:graphicData>
            </a:graphic>
          </wp:inline>
        </w:drawing>
      </w:r>
    </w:p>
    <w:p>
      <w:pPr>
        <w:pStyle w:val="64"/>
        <w:tabs>
          <w:tab w:val="clear" w:pos="420"/>
        </w:tabs>
      </w:pPr>
      <w:bookmarkStart w:id="23" w:name="_Toc58415535"/>
      <w:bookmarkStart w:id="24" w:name="_Toc1499924465_WPSOffice_Level2"/>
      <w:r>
        <w:t>查看发票信息</w:t>
      </w:r>
      <w:bookmarkEnd w:id="23"/>
      <w:bookmarkEnd w:id="24"/>
    </w:p>
    <w:p>
      <w:pPr>
        <w:pStyle w:val="59"/>
        <w:ind w:firstLine="480"/>
        <w:jc w:val="left"/>
      </w:pPr>
      <w:r>
        <w:rPr>
          <w:rFonts w:hint="eastAsia"/>
        </w:rPr>
        <w:t>申请后，电子发票在订单详情页点击【下载发票】；纸质发票寄送后在订单详情页显示【发票及收件信息】。</w:t>
      </w:r>
    </w:p>
    <w:p>
      <w:pPr>
        <w:pStyle w:val="59"/>
        <w:ind w:firstLine="0" w:firstLineChars="0"/>
        <w:jc w:val="left"/>
      </w:pPr>
      <w:r>
        <w:drawing>
          <wp:inline distT="0" distB="0" distL="0" distR="0">
            <wp:extent cx="5267325" cy="3930015"/>
            <wp:effectExtent l="19050" t="19050" r="9525"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cstate="print">
                      <a:extLst>
                        <a:ext uri="{28A0092B-C50C-407E-A947-70E740481C1C}">
                          <a14:useLocalDpi xmlns:a14="http://schemas.microsoft.com/office/drawing/2010/main" val="0"/>
                        </a:ext>
                      </a:extLst>
                    </a:blip>
                    <a:srcRect t="16142" b="6518"/>
                    <a:stretch>
                      <a:fillRect/>
                    </a:stretch>
                  </pic:blipFill>
                  <pic:spPr>
                    <a:xfrm>
                      <a:off x="0" y="0"/>
                      <a:ext cx="5275634" cy="3936239"/>
                    </a:xfrm>
                    <a:prstGeom prst="rect">
                      <a:avLst/>
                    </a:prstGeom>
                    <a:ln>
                      <a:solidFill>
                        <a:schemeClr val="bg1">
                          <a:lumMod val="85000"/>
                        </a:schemeClr>
                      </a:solidFill>
                    </a:ln>
                  </pic:spPr>
                </pic:pic>
              </a:graphicData>
            </a:graphic>
          </wp:inline>
        </w:drawing>
      </w:r>
    </w:p>
    <w:p>
      <w:r>
        <w:drawing>
          <wp:inline distT="0" distB="0" distL="0" distR="0">
            <wp:extent cx="5270500" cy="5273040"/>
            <wp:effectExtent l="19050" t="19050" r="25400" b="228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cstate="print">
                      <a:extLst>
                        <a:ext uri="{28A0092B-C50C-407E-A947-70E740481C1C}">
                          <a14:useLocalDpi xmlns:a14="http://schemas.microsoft.com/office/drawing/2010/main" val="0"/>
                        </a:ext>
                      </a:extLst>
                    </a:blip>
                    <a:srcRect b="4560"/>
                    <a:stretch>
                      <a:fillRect/>
                    </a:stretch>
                  </pic:blipFill>
                  <pic:spPr>
                    <a:xfrm>
                      <a:off x="0" y="0"/>
                      <a:ext cx="5270500" cy="5273227"/>
                    </a:xfrm>
                    <a:prstGeom prst="rect">
                      <a:avLst/>
                    </a:prstGeom>
                    <a:ln>
                      <a:solidFill>
                        <a:schemeClr val="bg1">
                          <a:lumMod val="85000"/>
                        </a:schemeClr>
                      </a:solidFill>
                    </a:ln>
                  </pic:spPr>
                </pic:pic>
              </a:graphicData>
            </a:graphic>
          </wp:inline>
        </w:drawing>
      </w:r>
    </w:p>
    <w:p>
      <w:pPr>
        <w:jc w:val="center"/>
      </w:pPr>
      <w:r>
        <w:rPr>
          <w:rFonts w:hint="eastAsia"/>
        </w:rPr>
        <w:drawing>
          <wp:inline distT="0" distB="0" distL="114300" distR="114300">
            <wp:extent cx="3546475" cy="2879725"/>
            <wp:effectExtent l="12700" t="12700" r="22225" b="28575"/>
            <wp:docPr id="61" name="图片 24" descr="弹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descr="弹窗2"/>
                    <pic:cNvPicPr>
                      <a:picLocks noChangeAspect="1"/>
                    </pic:cNvPicPr>
                  </pic:nvPicPr>
                  <pic:blipFill>
                    <a:blip r:embed="rId35"/>
                    <a:srcRect r="783" b="1196"/>
                    <a:stretch>
                      <a:fillRect/>
                    </a:stretch>
                  </pic:blipFill>
                  <pic:spPr>
                    <a:xfrm>
                      <a:off x="0" y="0"/>
                      <a:ext cx="3546475" cy="2879725"/>
                    </a:xfrm>
                    <a:prstGeom prst="rect">
                      <a:avLst/>
                    </a:prstGeom>
                    <a:noFill/>
                    <a:ln w="9525" cap="flat" cmpd="sng">
                      <a:solidFill>
                        <a:srgbClr val="D9D9D9"/>
                      </a:solidFill>
                      <a:prstDash val="solid"/>
                      <a:miter/>
                      <a:headEnd type="none" w="med" len="med"/>
                      <a:tailEnd type="none" w="med" len="med"/>
                    </a:ln>
                  </pic:spPr>
                </pic:pic>
              </a:graphicData>
            </a:graphic>
          </wp:inline>
        </w:drawing>
      </w:r>
    </w:p>
    <w:p>
      <w:pPr>
        <w:pStyle w:val="59"/>
        <w:ind w:firstLine="480"/>
      </w:pPr>
    </w:p>
    <w:p>
      <w:pPr>
        <w:pStyle w:val="59"/>
        <w:ind w:firstLine="480"/>
      </w:pPr>
    </w:p>
    <w:p>
      <w:pPr>
        <w:pStyle w:val="41"/>
        <w:numPr>
          <w:ilvl w:val="0"/>
          <w:numId w:val="0"/>
        </w:numPr>
      </w:pPr>
      <w:r>
        <w:rPr>
          <w:rFonts w:hint="eastAsia"/>
          <w:lang w:val="en-US" w:eastAsia="zh-CN"/>
        </w:rPr>
        <w:t>电子保函（保险电子保单）投保</w:t>
      </w:r>
      <w:r>
        <w:rPr>
          <w:rFonts w:hint="eastAsia"/>
        </w:rPr>
        <w:t>须知</w:t>
      </w:r>
    </w:p>
    <w:p>
      <w:pPr>
        <w:pStyle w:val="41"/>
        <w:numPr>
          <w:ilvl w:val="0"/>
          <w:numId w:val="0"/>
        </w:numPr>
      </w:pPr>
    </w:p>
    <w:p>
      <w:pPr>
        <w:pStyle w:val="59"/>
        <w:numPr>
          <w:ilvl w:val="0"/>
          <w:numId w:val="6"/>
        </w:numPr>
        <w:ind w:firstLineChars="0"/>
        <w:rPr>
          <w:color w:val="FF0000"/>
        </w:rPr>
      </w:pPr>
      <w:r>
        <w:rPr>
          <w:rFonts w:hint="eastAsia"/>
          <w:color w:val="FF0000"/>
        </w:rPr>
        <w:t>保险名称：投标保证保险。</w:t>
      </w:r>
    </w:p>
    <w:p>
      <w:pPr>
        <w:pStyle w:val="59"/>
        <w:numPr>
          <w:ilvl w:val="0"/>
          <w:numId w:val="6"/>
        </w:numPr>
        <w:ind w:firstLineChars="0"/>
        <w:rPr>
          <w:b/>
          <w:bCs/>
          <w:color w:val="FF0000"/>
        </w:rPr>
      </w:pPr>
      <w:r>
        <w:rPr>
          <w:rFonts w:hint="eastAsia"/>
          <w:color w:val="FF0000"/>
        </w:rPr>
        <w:t>保单形式：本次投保保单形式为电子保单。根据《中华人民共和国合同法》第十一条规定，数据电文是合法的合同表现形式。</w:t>
      </w:r>
    </w:p>
    <w:p>
      <w:pPr>
        <w:pStyle w:val="59"/>
        <w:numPr>
          <w:ilvl w:val="0"/>
          <w:numId w:val="6"/>
        </w:numPr>
        <w:ind w:firstLineChars="0"/>
        <w:rPr>
          <w:color w:val="FF0000"/>
        </w:rPr>
      </w:pPr>
      <w:r>
        <w:rPr>
          <w:rFonts w:hint="eastAsia"/>
          <w:color w:val="FF0000"/>
        </w:rPr>
        <w:t>请您在投保前务必详细阅读</w:t>
      </w:r>
      <w:r>
        <w:rPr>
          <w:rFonts w:hint="eastAsia"/>
          <w:b/>
          <w:color w:val="FF0000"/>
        </w:rPr>
        <w:t>保险条款</w:t>
      </w:r>
      <w:r>
        <w:rPr>
          <w:rFonts w:hint="eastAsia"/>
          <w:color w:val="FF0000"/>
        </w:rPr>
        <w:t>和</w:t>
      </w:r>
      <w:r>
        <w:rPr>
          <w:rFonts w:hint="eastAsia"/>
          <w:b/>
          <w:color w:val="FF0000"/>
        </w:rPr>
        <w:t>特别约定</w:t>
      </w:r>
      <w:r>
        <w:rPr>
          <w:rFonts w:hint="eastAsia"/>
          <w:color w:val="FF0000"/>
        </w:rPr>
        <w:t xml:space="preserve">，特别关注 </w:t>
      </w:r>
      <w:r>
        <w:rPr>
          <w:rFonts w:hint="eastAsia"/>
          <w:b/>
          <w:color w:val="FF0000"/>
        </w:rPr>
        <w:t>保险责任、责任免除、投保人及被保险人义务、赔偿处理</w:t>
      </w:r>
      <w:r>
        <w:rPr>
          <w:rFonts w:hint="eastAsia"/>
          <w:color w:val="FF0000"/>
        </w:rPr>
        <w:t>等内容。</w:t>
      </w:r>
    </w:p>
    <w:p>
      <w:pPr>
        <w:pStyle w:val="59"/>
        <w:numPr>
          <w:ilvl w:val="0"/>
          <w:numId w:val="6"/>
        </w:numPr>
        <w:ind w:firstLineChars="0"/>
      </w:pPr>
      <w:r>
        <w:rPr>
          <w:rFonts w:hint="eastAsia"/>
        </w:rPr>
        <w:t>请您在投保前务必详细阅读以下文件，并认真对待：</w:t>
      </w:r>
    </w:p>
    <w:p>
      <w:pPr>
        <w:pStyle w:val="59"/>
        <w:ind w:left="420" w:firstLine="0" w:firstLineChars="0"/>
        <w:rPr>
          <w:b/>
        </w:rPr>
      </w:pPr>
      <w:r>
        <w:rPr>
          <w:rFonts w:hint="eastAsia"/>
          <w:b/>
        </w:rPr>
        <w:t>（一）《天水市</w:t>
      </w:r>
      <w:r>
        <w:rPr>
          <w:rFonts w:hint="eastAsia"/>
          <w:b/>
          <w:lang w:val="en-US" w:eastAsia="zh-CN"/>
        </w:rPr>
        <w:t>电子保函（保险电子保单）</w:t>
      </w:r>
      <w:r>
        <w:rPr>
          <w:rFonts w:hint="eastAsia"/>
          <w:b/>
        </w:rPr>
        <w:t>承保、退保、理赔规则标准》。</w:t>
      </w:r>
    </w:p>
    <w:p>
      <w:pPr>
        <w:pStyle w:val="59"/>
        <w:ind w:left="420" w:firstLine="0" w:firstLineChars="0"/>
        <w:rPr>
          <w:b/>
        </w:rPr>
      </w:pPr>
      <w:r>
        <w:rPr>
          <w:rFonts w:hint="eastAsia"/>
          <w:b/>
        </w:rPr>
        <w:t>（二）《天水市</w:t>
      </w:r>
      <w:r>
        <w:rPr>
          <w:rFonts w:hint="eastAsia"/>
          <w:b/>
          <w:lang w:val="en-US" w:eastAsia="zh-CN"/>
        </w:rPr>
        <w:t>电子保函（保险电子保单）</w:t>
      </w:r>
      <w:r>
        <w:rPr>
          <w:rFonts w:hint="eastAsia"/>
          <w:b/>
        </w:rPr>
        <w:t>投保人（投标人）操作</w:t>
      </w:r>
      <w:r>
        <w:rPr>
          <w:rFonts w:hint="eastAsia"/>
          <w:b/>
          <w:lang w:val="en-US"/>
        </w:rPr>
        <w:t>指南</w:t>
      </w:r>
      <w:r>
        <w:rPr>
          <w:rFonts w:hint="eastAsia"/>
          <w:b/>
        </w:rPr>
        <w:t>》。</w:t>
      </w:r>
    </w:p>
    <w:p>
      <w:pPr>
        <w:pStyle w:val="59"/>
        <w:ind w:left="420" w:firstLine="0" w:firstLineChars="0"/>
        <w:rPr>
          <w:b/>
        </w:rPr>
      </w:pPr>
      <w:r>
        <w:rPr>
          <w:rFonts w:hint="eastAsia"/>
          <w:b/>
        </w:rPr>
        <w:t>（三）《保险公司特别约定》。</w:t>
      </w:r>
    </w:p>
    <w:p>
      <w:pPr>
        <w:pStyle w:val="59"/>
        <w:numPr>
          <w:ilvl w:val="0"/>
          <w:numId w:val="6"/>
        </w:numPr>
        <w:ind w:firstLineChars="0"/>
      </w:pPr>
      <w:r>
        <w:rPr>
          <w:rFonts w:hint="eastAsia"/>
        </w:rPr>
        <w:t>投标保证保险电子保单由保险</w:t>
      </w:r>
      <w:r>
        <w:t>机构</w:t>
      </w:r>
      <w:r>
        <w:rPr>
          <w:rFonts w:hint="eastAsia"/>
        </w:rPr>
        <w:t xml:space="preserve">提供，电子保单与纸质保单具有同等法律效力。 </w:t>
      </w:r>
    </w:p>
    <w:p>
      <w:pPr>
        <w:pStyle w:val="59"/>
        <w:numPr>
          <w:ilvl w:val="0"/>
          <w:numId w:val="6"/>
        </w:numPr>
        <w:ind w:firstLineChars="0"/>
      </w:pPr>
      <w:r>
        <w:rPr>
          <w:rFonts w:hint="eastAsia"/>
        </w:rPr>
        <w:t>请您于投保项目《招标文件》规定的“投标保证金缴纳截止时间”前完成保费支付，否则投保无效。</w:t>
      </w:r>
    </w:p>
    <w:p>
      <w:pPr>
        <w:pStyle w:val="59"/>
        <w:numPr>
          <w:ilvl w:val="0"/>
          <w:numId w:val="6"/>
        </w:numPr>
        <w:ind w:firstLineChars="0"/>
      </w:pPr>
      <w:r>
        <w:rPr>
          <w:rFonts w:hint="eastAsia"/>
        </w:rPr>
        <w:t>发票申请操作详见</w:t>
      </w:r>
      <w:r>
        <w:rPr>
          <w:rFonts w:hint="eastAsia"/>
          <w:b/>
        </w:rPr>
        <w:t>《天水市</w:t>
      </w:r>
      <w:r>
        <w:rPr>
          <w:rFonts w:hint="eastAsia"/>
          <w:b/>
          <w:lang w:val="en-US" w:eastAsia="zh-CN"/>
        </w:rPr>
        <w:t>电子保函（保险电子保单）</w:t>
      </w:r>
      <w:r>
        <w:rPr>
          <w:rFonts w:hint="eastAsia"/>
          <w:b/>
        </w:rPr>
        <w:t>投保人（投标人）操作</w:t>
      </w:r>
      <w:r>
        <w:rPr>
          <w:rFonts w:hint="eastAsia"/>
          <w:b/>
          <w:lang w:val="en-US"/>
        </w:rPr>
        <w:t>指南</w:t>
      </w:r>
      <w:r>
        <w:rPr>
          <w:rFonts w:hint="eastAsia"/>
          <w:b/>
        </w:rPr>
        <w:t>》</w:t>
      </w:r>
      <w:r>
        <w:rPr>
          <w:rFonts w:hint="eastAsia"/>
        </w:rPr>
        <w:t>。</w:t>
      </w:r>
    </w:p>
    <w:p>
      <w:pPr>
        <w:pStyle w:val="59"/>
        <w:numPr>
          <w:ilvl w:val="0"/>
          <w:numId w:val="6"/>
        </w:numPr>
        <w:ind w:firstLineChars="0"/>
      </w:pPr>
      <w:r>
        <w:rPr>
          <w:rFonts w:hint="eastAsia"/>
        </w:rPr>
        <w:t>退保申请操作详见</w:t>
      </w:r>
      <w:r>
        <w:rPr>
          <w:rFonts w:hint="eastAsia"/>
          <w:b/>
        </w:rPr>
        <w:t>《天水市</w:t>
      </w:r>
      <w:r>
        <w:rPr>
          <w:rFonts w:hint="eastAsia"/>
          <w:b/>
          <w:lang w:val="en-US" w:eastAsia="zh-CN"/>
        </w:rPr>
        <w:t>电子保函（保险电子保单）</w:t>
      </w:r>
      <w:r>
        <w:rPr>
          <w:rFonts w:hint="eastAsia"/>
          <w:b/>
        </w:rPr>
        <w:t>承保、退保、理赔规则标准》和《天水市</w:t>
      </w:r>
      <w:r>
        <w:rPr>
          <w:rFonts w:hint="eastAsia"/>
          <w:b/>
          <w:lang w:val="en-US" w:eastAsia="zh-CN"/>
        </w:rPr>
        <w:t>电子保函（保险电子保单）</w:t>
      </w:r>
      <w:r>
        <w:rPr>
          <w:rFonts w:hint="eastAsia"/>
          <w:b/>
        </w:rPr>
        <w:t>投保人（投标人）操作</w:t>
      </w:r>
      <w:r>
        <w:rPr>
          <w:rFonts w:hint="eastAsia"/>
          <w:b/>
          <w:lang w:val="en-US"/>
        </w:rPr>
        <w:t>指南</w:t>
      </w:r>
      <w:r>
        <w:rPr>
          <w:rFonts w:hint="eastAsia"/>
          <w:b/>
        </w:rPr>
        <w:t>》</w:t>
      </w:r>
      <w:r>
        <w:rPr>
          <w:rFonts w:hint="eastAsia"/>
        </w:rPr>
        <w:t>。</w:t>
      </w:r>
    </w:p>
    <w:p>
      <w:pPr>
        <w:pStyle w:val="59"/>
        <w:ind w:firstLine="480"/>
      </w:pPr>
    </w:p>
    <w:p>
      <w:pPr>
        <w:pStyle w:val="59"/>
        <w:ind w:firstLine="480"/>
      </w:pPr>
    </w:p>
    <w:p>
      <w:pPr>
        <w:pStyle w:val="59"/>
        <w:ind w:firstLine="480"/>
      </w:pPr>
    </w:p>
    <w:p>
      <w:pPr>
        <w:pStyle w:val="59"/>
        <w:ind w:firstLine="480"/>
      </w:pPr>
    </w:p>
    <w:p>
      <w:pPr>
        <w:pStyle w:val="59"/>
        <w:ind w:firstLine="480"/>
      </w:pPr>
    </w:p>
    <w:p>
      <w:pPr>
        <w:pStyle w:val="59"/>
        <w:ind w:firstLine="480"/>
      </w:pPr>
    </w:p>
    <w:p>
      <w:pPr>
        <w:pStyle w:val="59"/>
        <w:ind w:firstLine="480"/>
      </w:pPr>
    </w:p>
    <w:p>
      <w:pPr>
        <w:pStyle w:val="41"/>
        <w:numPr>
          <w:ilvl w:val="0"/>
          <w:numId w:val="0"/>
        </w:numPr>
        <w:rPr>
          <w:rFonts w:hint="default" w:eastAsia="宋体"/>
          <w:lang w:val="en-US" w:eastAsia="zh-CN"/>
        </w:rPr>
      </w:pPr>
      <w:r>
        <w:rPr>
          <w:rFonts w:hint="eastAsia"/>
        </w:rPr>
        <w:t>天水市</w:t>
      </w:r>
      <w:r>
        <w:rPr>
          <w:rFonts w:hint="eastAsia"/>
          <w:lang w:val="en-US" w:eastAsia="zh-CN"/>
        </w:rPr>
        <w:t>电子保函（保险电子保单）</w:t>
      </w:r>
    </w:p>
    <w:p>
      <w:pPr>
        <w:pStyle w:val="41"/>
        <w:numPr>
          <w:ilvl w:val="0"/>
          <w:numId w:val="0"/>
        </w:numPr>
      </w:pPr>
      <w:r>
        <w:rPr>
          <w:rFonts w:hint="eastAsia"/>
        </w:rPr>
        <w:t>承保、退保、理赔规则标准</w:t>
      </w:r>
    </w:p>
    <w:p>
      <w:pPr>
        <w:pStyle w:val="43"/>
        <w:numPr>
          <w:ilvl w:val="0"/>
          <w:numId w:val="0"/>
        </w:numPr>
      </w:pPr>
      <w:r>
        <w:rPr>
          <w:rFonts w:hint="eastAsia"/>
        </w:rPr>
        <w:t>一、</w:t>
      </w:r>
      <w:r>
        <w:rPr>
          <w:rFonts w:hint="eastAsia"/>
        </w:rPr>
        <w:tab/>
      </w:r>
      <w:r>
        <w:rPr>
          <w:rFonts w:hint="eastAsia"/>
        </w:rPr>
        <w:t>承保规则</w:t>
      </w:r>
    </w:p>
    <w:p>
      <w:pPr>
        <w:pStyle w:val="59"/>
        <w:ind w:firstLine="482"/>
        <w:rPr>
          <w:b/>
        </w:rPr>
      </w:pPr>
      <w:r>
        <w:rPr>
          <w:rFonts w:hint="eastAsia"/>
          <w:b/>
        </w:rPr>
        <w:t>（一）投保人定义</w:t>
      </w:r>
    </w:p>
    <w:p>
      <w:pPr>
        <w:pStyle w:val="59"/>
        <w:ind w:firstLine="480"/>
      </w:pPr>
      <w:r>
        <w:rPr>
          <w:rFonts w:hint="eastAsia"/>
        </w:rPr>
        <w:t>凡符合相关法律法规要求，参加投标的企业均可作为投保人。</w:t>
      </w:r>
    </w:p>
    <w:p>
      <w:pPr>
        <w:pStyle w:val="59"/>
        <w:ind w:firstLine="482"/>
        <w:rPr>
          <w:b/>
        </w:rPr>
      </w:pPr>
      <w:r>
        <w:rPr>
          <w:rFonts w:hint="eastAsia"/>
          <w:b/>
        </w:rPr>
        <w:t>（二）被保险人定义</w:t>
      </w:r>
    </w:p>
    <w:p>
      <w:pPr>
        <w:pStyle w:val="59"/>
        <w:ind w:firstLine="480"/>
      </w:pPr>
      <w:r>
        <w:rPr>
          <w:rFonts w:hint="eastAsia"/>
        </w:rPr>
        <w:t>凡符合相关法律法规要求，向投标人进行招标的均可作为被保险人。</w:t>
      </w:r>
    </w:p>
    <w:p>
      <w:pPr>
        <w:pStyle w:val="59"/>
        <w:ind w:firstLine="482"/>
        <w:rPr>
          <w:b/>
        </w:rPr>
      </w:pPr>
      <w:r>
        <w:rPr>
          <w:rFonts w:hint="eastAsia"/>
          <w:b/>
        </w:rPr>
        <w:t>（三）保险金额</w:t>
      </w:r>
    </w:p>
    <w:p>
      <w:pPr>
        <w:pStyle w:val="59"/>
        <w:ind w:firstLine="480"/>
      </w:pPr>
      <w:r>
        <w:rPr>
          <w:rFonts w:hint="eastAsia"/>
        </w:rPr>
        <w:t>保险金额与投保项目《招标文件》中规定的投标保证金金额一致。</w:t>
      </w:r>
    </w:p>
    <w:p>
      <w:pPr>
        <w:pStyle w:val="59"/>
        <w:ind w:firstLine="482"/>
        <w:rPr>
          <w:b/>
        </w:rPr>
      </w:pPr>
      <w:r>
        <w:rPr>
          <w:rFonts w:hint="eastAsia"/>
          <w:b/>
        </w:rPr>
        <w:t>（四）保险费率</w:t>
      </w:r>
    </w:p>
    <w:p>
      <w:pPr>
        <w:pStyle w:val="59"/>
        <w:ind w:firstLine="480"/>
        <w:rPr>
          <w:lang w:val="en-US"/>
        </w:rPr>
      </w:pPr>
      <w:r>
        <w:rPr>
          <w:rFonts w:hint="eastAsia"/>
        </w:rPr>
        <w:t>保险人经银保监会备案的费率情况和相关费率标准综合确定投标保证保险费率</w:t>
      </w:r>
      <w:r>
        <w:rPr>
          <w:rFonts w:hint="eastAsia"/>
          <w:lang w:val="en-US"/>
        </w:rPr>
        <w:t>参照</w:t>
      </w:r>
      <w:r>
        <w:rPr>
          <w:rFonts w:hint="eastAsia"/>
          <w:lang w:val="en-US" w:eastAsia="zh-CN"/>
        </w:rPr>
        <w:t>办理</w:t>
      </w:r>
      <w:r>
        <w:rPr>
          <w:rFonts w:hint="eastAsia"/>
          <w:lang w:val="en-US"/>
        </w:rPr>
        <w:t>须知。</w:t>
      </w:r>
    </w:p>
    <w:p>
      <w:pPr>
        <w:pStyle w:val="59"/>
        <w:ind w:firstLine="482"/>
        <w:rPr>
          <w:b/>
        </w:rPr>
      </w:pPr>
      <w:r>
        <w:rPr>
          <w:rFonts w:hint="eastAsia"/>
          <w:b/>
        </w:rPr>
        <w:t>（五）保险期间</w:t>
      </w:r>
    </w:p>
    <w:p>
      <w:pPr>
        <w:pStyle w:val="59"/>
        <w:ind w:firstLine="480"/>
      </w:pPr>
      <w:r>
        <w:rPr>
          <w:rFonts w:hint="eastAsia"/>
        </w:rPr>
        <w:t>保险生效时间为投保项目投标截止时间，保险期间为投保项目《招标文件》中载明的投标有效期。</w:t>
      </w:r>
    </w:p>
    <w:p>
      <w:pPr>
        <w:pStyle w:val="59"/>
        <w:ind w:firstLine="482"/>
        <w:rPr>
          <w:b/>
        </w:rPr>
      </w:pPr>
      <w:r>
        <w:rPr>
          <w:rFonts w:hint="eastAsia"/>
          <w:b/>
        </w:rPr>
        <w:t>（六）大额承保</w:t>
      </w:r>
    </w:p>
    <w:p>
      <w:pPr>
        <w:pStyle w:val="59"/>
        <w:ind w:firstLine="480"/>
      </w:pPr>
      <w:r>
        <w:rPr>
          <w:rFonts w:hint="eastAsia"/>
        </w:rPr>
        <w:t>当投标保证金金额大于80万元时，保险人可以选择性承保，具体承保情况如下：</w:t>
      </w:r>
    </w:p>
    <w:tbl>
      <w:tblPr>
        <w:tblStyle w:val="21"/>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2254"/>
        <w:gridCol w:w="2254"/>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center"/>
          </w:tcPr>
          <w:p>
            <w:pPr>
              <w:jc w:val="center"/>
              <w:rPr>
                <w:b/>
                <w:bCs/>
              </w:rPr>
            </w:pPr>
            <w:r>
              <w:rPr>
                <w:rFonts w:hint="eastAsia"/>
                <w:b/>
                <w:bCs/>
              </w:rPr>
              <w:t>保险公司名称</w:t>
            </w:r>
          </w:p>
        </w:tc>
        <w:tc>
          <w:tcPr>
            <w:tcW w:w="2254" w:type="dxa"/>
            <w:vAlign w:val="center"/>
          </w:tcPr>
          <w:p>
            <w:pPr>
              <w:jc w:val="center"/>
              <w:rPr>
                <w:b/>
                <w:bCs/>
              </w:rPr>
            </w:pPr>
            <w:r>
              <w:rPr>
                <w:rFonts w:hint="eastAsia"/>
                <w:b/>
                <w:bCs/>
              </w:rPr>
              <w:t>承保规则</w:t>
            </w:r>
          </w:p>
        </w:tc>
        <w:tc>
          <w:tcPr>
            <w:tcW w:w="2254" w:type="dxa"/>
            <w:vAlign w:val="center"/>
          </w:tcPr>
          <w:p>
            <w:pPr>
              <w:jc w:val="center"/>
              <w:rPr>
                <w:b/>
                <w:bCs/>
              </w:rPr>
            </w:pPr>
            <w:r>
              <w:rPr>
                <w:rFonts w:hint="eastAsia"/>
                <w:b/>
                <w:bCs/>
              </w:rPr>
              <w:t>是否为自核</w:t>
            </w:r>
          </w:p>
        </w:tc>
        <w:tc>
          <w:tcPr>
            <w:tcW w:w="2254" w:type="dxa"/>
            <w:vAlign w:val="center"/>
          </w:tcPr>
          <w:p>
            <w:pPr>
              <w:jc w:val="center"/>
              <w:rPr>
                <w:b/>
                <w:bCs/>
              </w:rPr>
            </w:pPr>
            <w:r>
              <w:rPr>
                <w:rFonts w:hint="eastAsia"/>
                <w:b/>
                <w:bCs/>
              </w:rPr>
              <w:t>是否同意承保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center"/>
          </w:tcPr>
          <w:p>
            <w:pPr>
              <w:jc w:val="center"/>
            </w:pPr>
            <w:r>
              <w:rPr>
                <w:rFonts w:hint="eastAsia"/>
              </w:rPr>
              <w:t>中国平安财产保险股份有限公司</w:t>
            </w:r>
          </w:p>
        </w:tc>
        <w:tc>
          <w:tcPr>
            <w:tcW w:w="2254" w:type="dxa"/>
            <w:vAlign w:val="center"/>
          </w:tcPr>
          <w:p>
            <w:pPr>
              <w:jc w:val="center"/>
            </w:pPr>
            <w:r>
              <w:rPr>
                <w:rFonts w:hint="eastAsia"/>
              </w:rPr>
              <w:t>保证金金额&gt;80万</w:t>
            </w:r>
          </w:p>
        </w:tc>
        <w:tc>
          <w:tcPr>
            <w:tcW w:w="2254" w:type="dxa"/>
            <w:vAlign w:val="center"/>
          </w:tcPr>
          <w:p>
            <w:pPr>
              <w:jc w:val="center"/>
            </w:pPr>
            <w:r>
              <w:rPr>
                <w:rFonts w:hint="eastAsia"/>
              </w:rPr>
              <w:t>否</w:t>
            </w:r>
          </w:p>
        </w:tc>
        <w:tc>
          <w:tcPr>
            <w:tcW w:w="2254"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center"/>
          </w:tcPr>
          <w:p>
            <w:pPr>
              <w:jc w:val="center"/>
            </w:pPr>
            <w:r>
              <w:rPr>
                <w:rFonts w:hint="eastAsia"/>
              </w:rPr>
              <w:t>中国大地财产保险股份有限公司</w:t>
            </w:r>
          </w:p>
        </w:tc>
        <w:tc>
          <w:tcPr>
            <w:tcW w:w="2254" w:type="dxa"/>
            <w:vAlign w:val="center"/>
          </w:tcPr>
          <w:p>
            <w:pPr>
              <w:jc w:val="center"/>
            </w:pPr>
            <w:r>
              <w:rPr>
                <w:rFonts w:hint="eastAsia"/>
              </w:rPr>
              <w:t>保证金金额&gt;80万</w:t>
            </w:r>
          </w:p>
        </w:tc>
        <w:tc>
          <w:tcPr>
            <w:tcW w:w="2254" w:type="dxa"/>
            <w:vAlign w:val="center"/>
          </w:tcPr>
          <w:p>
            <w:pPr>
              <w:jc w:val="center"/>
            </w:pPr>
            <w:r>
              <w:rPr>
                <w:rFonts w:hint="eastAsia"/>
              </w:rPr>
              <w:t>是</w:t>
            </w:r>
          </w:p>
        </w:tc>
        <w:tc>
          <w:tcPr>
            <w:tcW w:w="2254" w:type="dxa"/>
            <w:vAlign w:val="center"/>
          </w:tcPr>
          <w:p>
            <w:pPr>
              <w:jc w:val="center"/>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center"/>
          </w:tcPr>
          <w:p>
            <w:pPr>
              <w:jc w:val="center"/>
            </w:pPr>
            <w:r>
              <w:rPr>
                <w:rFonts w:hint="eastAsia"/>
              </w:rPr>
              <w:t>天安财产保险股份有限公司</w:t>
            </w:r>
          </w:p>
        </w:tc>
        <w:tc>
          <w:tcPr>
            <w:tcW w:w="2254" w:type="dxa"/>
            <w:vAlign w:val="center"/>
          </w:tcPr>
          <w:p>
            <w:pPr>
              <w:jc w:val="center"/>
            </w:pPr>
            <w:r>
              <w:rPr>
                <w:rFonts w:hint="eastAsia"/>
              </w:rPr>
              <w:t>保证金金额&gt;80万</w:t>
            </w:r>
          </w:p>
        </w:tc>
        <w:tc>
          <w:tcPr>
            <w:tcW w:w="2254" w:type="dxa"/>
            <w:vAlign w:val="center"/>
          </w:tcPr>
          <w:p>
            <w:pPr>
              <w:jc w:val="center"/>
            </w:pPr>
            <w:r>
              <w:rPr>
                <w:rFonts w:hint="eastAsia"/>
              </w:rPr>
              <w:t>是</w:t>
            </w:r>
          </w:p>
        </w:tc>
        <w:tc>
          <w:tcPr>
            <w:tcW w:w="2254" w:type="dxa"/>
            <w:vAlign w:val="center"/>
          </w:tcPr>
          <w:p>
            <w:pPr>
              <w:jc w:val="center"/>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center"/>
          </w:tcPr>
          <w:p>
            <w:pPr>
              <w:jc w:val="center"/>
            </w:pPr>
            <w:r>
              <w:rPr>
                <w:rFonts w:hint="eastAsia"/>
              </w:rPr>
              <w:t>华农财产保险股份有限公司</w:t>
            </w:r>
          </w:p>
        </w:tc>
        <w:tc>
          <w:tcPr>
            <w:tcW w:w="2254" w:type="dxa"/>
            <w:vAlign w:val="center"/>
          </w:tcPr>
          <w:p>
            <w:pPr>
              <w:jc w:val="center"/>
            </w:pPr>
            <w:r>
              <w:rPr>
                <w:rFonts w:hint="eastAsia"/>
              </w:rPr>
              <w:t>保证金金额&gt;80万</w:t>
            </w:r>
          </w:p>
        </w:tc>
        <w:tc>
          <w:tcPr>
            <w:tcW w:w="2254" w:type="dxa"/>
            <w:vAlign w:val="center"/>
          </w:tcPr>
          <w:p>
            <w:pPr>
              <w:jc w:val="center"/>
            </w:pPr>
            <w:r>
              <w:rPr>
                <w:rFonts w:hint="eastAsia"/>
              </w:rPr>
              <w:t>否</w:t>
            </w:r>
          </w:p>
        </w:tc>
        <w:tc>
          <w:tcPr>
            <w:tcW w:w="2254"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center"/>
          </w:tcPr>
          <w:p>
            <w:pPr>
              <w:jc w:val="center"/>
            </w:pPr>
            <w:r>
              <w:rPr>
                <w:rFonts w:hint="eastAsia"/>
              </w:rPr>
              <w:t>永安财产保险股份有限公司</w:t>
            </w:r>
          </w:p>
        </w:tc>
        <w:tc>
          <w:tcPr>
            <w:tcW w:w="2254" w:type="dxa"/>
            <w:vAlign w:val="center"/>
          </w:tcPr>
          <w:p>
            <w:pPr>
              <w:jc w:val="center"/>
            </w:pPr>
            <w:r>
              <w:rPr>
                <w:rFonts w:hint="eastAsia"/>
              </w:rPr>
              <w:t>保证金金额&gt;80万</w:t>
            </w:r>
          </w:p>
        </w:tc>
        <w:tc>
          <w:tcPr>
            <w:tcW w:w="2254" w:type="dxa"/>
            <w:vAlign w:val="center"/>
          </w:tcPr>
          <w:p>
            <w:pPr>
              <w:jc w:val="center"/>
            </w:pPr>
            <w:r>
              <w:rPr>
                <w:rFonts w:hint="eastAsia"/>
              </w:rPr>
              <w:t>否</w:t>
            </w:r>
          </w:p>
        </w:tc>
        <w:tc>
          <w:tcPr>
            <w:tcW w:w="2254" w:type="dxa"/>
            <w:vAlign w:val="center"/>
          </w:tcPr>
          <w:p>
            <w:pPr>
              <w:jc w:val="center"/>
            </w:pPr>
            <w:r>
              <w:rPr>
                <w:rFonts w:hint="eastAsia"/>
              </w:rPr>
              <w:t>否</w:t>
            </w:r>
          </w:p>
        </w:tc>
      </w:tr>
    </w:tbl>
    <w:p>
      <w:pPr>
        <w:pStyle w:val="59"/>
        <w:ind w:firstLine="480"/>
      </w:pPr>
    </w:p>
    <w:p>
      <w:pPr>
        <w:pStyle w:val="59"/>
        <w:ind w:firstLine="480"/>
        <w:sectPr>
          <w:headerReference r:id="rId6" w:type="default"/>
          <w:footerReference r:id="rId7" w:type="default"/>
          <w:pgSz w:w="11906" w:h="16838"/>
          <w:pgMar w:top="1797" w:right="1440" w:bottom="1797" w:left="1440" w:header="1134" w:footer="1264" w:gutter="0"/>
          <w:cols w:space="425" w:num="1"/>
          <w:docGrid w:linePitch="312" w:charSpace="0"/>
        </w:sectPr>
      </w:pPr>
    </w:p>
    <w:p>
      <w:pPr>
        <w:pStyle w:val="43"/>
        <w:numPr>
          <w:ilvl w:val="0"/>
          <w:numId w:val="0"/>
        </w:numPr>
      </w:pPr>
      <w:r>
        <w:rPr>
          <w:rFonts w:hint="eastAsia"/>
        </w:rPr>
        <w:t>二、退保规则</w:t>
      </w:r>
    </w:p>
    <w:p>
      <w:pPr>
        <w:pStyle w:val="59"/>
        <w:ind w:firstLine="482"/>
        <w:rPr>
          <w:b/>
        </w:rPr>
      </w:pPr>
      <w:r>
        <w:rPr>
          <w:rFonts w:hint="eastAsia"/>
          <w:b/>
        </w:rPr>
        <w:t>（一）退保情形</w:t>
      </w:r>
    </w:p>
    <w:p>
      <w:pPr>
        <w:pStyle w:val="59"/>
        <w:ind w:firstLine="480"/>
      </w:pPr>
      <w:r>
        <w:rPr>
          <w:rFonts w:hint="eastAsia"/>
        </w:rPr>
        <w:t>1.</w:t>
      </w:r>
      <w:r>
        <w:t>项目发生中止、暂停的</w:t>
      </w:r>
      <w:r>
        <w:rPr>
          <w:rFonts w:hint="eastAsia"/>
        </w:rPr>
        <w:t>，可进行退保；</w:t>
      </w:r>
    </w:p>
    <w:p>
      <w:pPr>
        <w:pStyle w:val="59"/>
        <w:ind w:firstLine="480"/>
      </w:pPr>
      <w:r>
        <w:rPr>
          <w:rFonts w:hint="eastAsia"/>
          <w:lang w:val="en-US"/>
        </w:rPr>
        <w:t>2</w:t>
      </w:r>
      <w:r>
        <w:rPr>
          <w:rFonts w:hint="eastAsia"/>
        </w:rPr>
        <w:t>.开标后项目发生流标的，可进行退保；</w:t>
      </w:r>
    </w:p>
    <w:p>
      <w:pPr>
        <w:pStyle w:val="59"/>
        <w:ind w:firstLine="480"/>
      </w:pPr>
      <w:r>
        <w:rPr>
          <w:rFonts w:hint="eastAsia"/>
          <w:lang w:val="en-US"/>
        </w:rPr>
        <w:t>3</w:t>
      </w:r>
      <w:r>
        <w:rPr>
          <w:rFonts w:hint="eastAsia"/>
        </w:rPr>
        <w:t>.除上述情形外均不予退保。</w:t>
      </w:r>
    </w:p>
    <w:p>
      <w:pPr>
        <w:pStyle w:val="59"/>
        <w:ind w:firstLine="482"/>
        <w:rPr>
          <w:b/>
        </w:rPr>
      </w:pPr>
      <w:r>
        <w:rPr>
          <w:rFonts w:hint="eastAsia"/>
          <w:b/>
        </w:rPr>
        <w:t>（二）退费路径</w:t>
      </w:r>
    </w:p>
    <w:p>
      <w:pPr>
        <w:pStyle w:val="59"/>
        <w:ind w:firstLine="480"/>
      </w:pPr>
      <w:r>
        <w:rPr>
          <w:rFonts w:hint="eastAsia"/>
        </w:rPr>
        <w:t>1.网银支付保费的：保费退回投保人的银行账户，具体操作详见</w:t>
      </w:r>
      <w:r>
        <w:rPr>
          <w:rFonts w:hint="eastAsia"/>
          <w:b/>
        </w:rPr>
        <w:t>《天水市</w:t>
      </w:r>
      <w:r>
        <w:rPr>
          <w:rFonts w:hint="eastAsia"/>
          <w:b/>
          <w:lang w:val="en-US" w:eastAsia="zh-CN"/>
        </w:rPr>
        <w:t>电子保函（保险电子保单）</w:t>
      </w:r>
      <w:r>
        <w:rPr>
          <w:rFonts w:hint="eastAsia"/>
          <w:b/>
        </w:rPr>
        <w:t>投保人（投标人）操作</w:t>
      </w:r>
      <w:r>
        <w:rPr>
          <w:rFonts w:hint="eastAsia"/>
          <w:b/>
          <w:lang w:val="en-US"/>
        </w:rPr>
        <w:t>指南</w:t>
      </w:r>
      <w:r>
        <w:rPr>
          <w:rFonts w:hint="eastAsia"/>
          <w:b/>
        </w:rPr>
        <w:t>》</w:t>
      </w:r>
      <w:r>
        <w:rPr>
          <w:rFonts w:hint="eastAsia"/>
        </w:rPr>
        <w:t>。</w:t>
      </w:r>
    </w:p>
    <w:p>
      <w:pPr>
        <w:pStyle w:val="59"/>
        <w:ind w:firstLine="480"/>
      </w:pPr>
      <w:r>
        <w:rPr>
          <w:rFonts w:hint="eastAsia"/>
        </w:rPr>
        <w:t>2.微信或支付宝支付保费的：保费将原路退回，具体操作详见《</w:t>
      </w:r>
      <w:r>
        <w:rPr>
          <w:rFonts w:hint="eastAsia"/>
          <w:b/>
        </w:rPr>
        <w:t>天水市</w:t>
      </w:r>
      <w:r>
        <w:rPr>
          <w:rFonts w:hint="eastAsia"/>
          <w:b/>
          <w:lang w:val="en-US" w:eastAsia="zh-CN"/>
        </w:rPr>
        <w:t>电子保函（保险电子保单）</w:t>
      </w:r>
      <w:r>
        <w:rPr>
          <w:rFonts w:hint="eastAsia"/>
          <w:b/>
        </w:rPr>
        <w:t>投保人（投标人）操作</w:t>
      </w:r>
      <w:r>
        <w:rPr>
          <w:rFonts w:hint="eastAsia"/>
          <w:b/>
          <w:lang w:val="en-US"/>
        </w:rPr>
        <w:t>指南</w:t>
      </w:r>
      <w:r>
        <w:rPr>
          <w:rFonts w:hint="eastAsia"/>
          <w:b/>
        </w:rPr>
        <w:t>》</w:t>
      </w:r>
      <w:r>
        <w:rPr>
          <w:rFonts w:hint="eastAsia"/>
        </w:rPr>
        <w:t>。</w:t>
      </w:r>
    </w:p>
    <w:p>
      <w:pPr>
        <w:pStyle w:val="59"/>
        <w:ind w:firstLine="482"/>
        <w:rPr>
          <w:b/>
        </w:rPr>
      </w:pPr>
      <w:r>
        <w:rPr>
          <w:rFonts w:hint="eastAsia"/>
          <w:b/>
        </w:rPr>
        <w:t>（三）其他</w:t>
      </w:r>
    </w:p>
    <w:p>
      <w:pPr>
        <w:pStyle w:val="59"/>
        <w:ind w:firstLine="480"/>
      </w:pPr>
      <w:r>
        <w:rPr>
          <w:rFonts w:hint="eastAsia"/>
        </w:rPr>
        <w:t>1.因系统故障等原因导致无法进行线上退保，请及时联系保险人进行线下退保，也可拨打电子保函服务平台官方联系电话（400-800-5100）解决系统故障问题。</w:t>
      </w:r>
    </w:p>
    <w:p>
      <w:pPr>
        <w:pStyle w:val="59"/>
        <w:ind w:firstLine="480"/>
      </w:pPr>
      <w:r>
        <w:rPr>
          <w:rFonts w:hint="eastAsia"/>
        </w:rPr>
        <w:t>2.投保人办理退保事宜</w:t>
      </w:r>
      <w:r>
        <w:t>，满足退保条件的，保险费全额退还</w:t>
      </w:r>
      <w:r>
        <w:rPr>
          <w:rFonts w:hint="eastAsia"/>
        </w:rPr>
        <w:t>。</w:t>
      </w:r>
    </w:p>
    <w:p>
      <w:pPr>
        <w:pStyle w:val="59"/>
        <w:ind w:firstLine="480"/>
      </w:pPr>
    </w:p>
    <w:p>
      <w:pPr>
        <w:pStyle w:val="43"/>
        <w:numPr>
          <w:ilvl w:val="0"/>
          <w:numId w:val="0"/>
        </w:numPr>
      </w:pPr>
      <w:r>
        <w:rPr>
          <w:rFonts w:hint="eastAsia"/>
        </w:rPr>
        <w:t>三、理赔规则</w:t>
      </w:r>
    </w:p>
    <w:p>
      <w:pPr>
        <w:pStyle w:val="59"/>
        <w:ind w:firstLine="480"/>
      </w:pPr>
      <w:r>
        <w:rPr>
          <w:rFonts w:hint="eastAsia"/>
        </w:rPr>
        <w:t>（一）在保险期间内，投保人在被保险人组织的招标项目投标过程中，发生保险事故的，被保险人可向保险人提出索赔。保险人依据保险合同的约定对被保险人的损失进行赔偿，赔偿金额以保险金额为限。</w:t>
      </w:r>
    </w:p>
    <w:p>
      <w:pPr>
        <w:pStyle w:val="59"/>
        <w:ind w:firstLine="480"/>
      </w:pPr>
      <w:r>
        <w:rPr>
          <w:rFonts w:hint="eastAsia"/>
        </w:rPr>
        <w:t>（二）被保险人发现投保人在保险期间违反保险合同约定发生保险事故的，可在天水市公共资源交易平台上发起理赔申请</w:t>
      </w:r>
      <w:r>
        <w:t>。</w:t>
      </w:r>
    </w:p>
    <w:p>
      <w:pPr>
        <w:pStyle w:val="59"/>
        <w:ind w:firstLine="480"/>
      </w:pPr>
      <w:r>
        <w:rPr>
          <w:rFonts w:hint="eastAsia"/>
        </w:rPr>
        <w:t>（三）线下理赔材料提供如下：</w:t>
      </w:r>
    </w:p>
    <w:p>
      <w:pPr>
        <w:pStyle w:val="59"/>
        <w:ind w:firstLine="480"/>
      </w:pPr>
      <w:r>
        <w:rPr>
          <w:rFonts w:hint="eastAsia"/>
        </w:rPr>
        <w:t>1.索赔申请书；</w:t>
      </w:r>
    </w:p>
    <w:p>
      <w:pPr>
        <w:pStyle w:val="59"/>
        <w:ind w:firstLine="480"/>
      </w:pPr>
      <w:r>
        <w:rPr>
          <w:rFonts w:hint="eastAsia"/>
        </w:rPr>
        <w:t>2.招标文件和投标文件；</w:t>
      </w:r>
    </w:p>
    <w:p>
      <w:pPr>
        <w:pStyle w:val="59"/>
        <w:ind w:firstLine="480"/>
      </w:pPr>
      <w:r>
        <w:rPr>
          <w:rFonts w:hint="eastAsia"/>
        </w:rPr>
        <w:t>3.投保人违约证明材料。</w:t>
      </w:r>
    </w:p>
    <w:p>
      <w:pPr>
        <w:pStyle w:val="59"/>
        <w:ind w:firstLine="480"/>
      </w:pPr>
      <w:r>
        <w:rPr>
          <w:rFonts w:hint="eastAsia"/>
        </w:rPr>
        <w:t>（四）保险</w:t>
      </w:r>
      <w:r>
        <w:t>人</w:t>
      </w:r>
      <w:r>
        <w:rPr>
          <w:rFonts w:hint="eastAsia"/>
        </w:rPr>
        <w:t>应在收到索赔申请书和相关材料后10个工作日内完成理赔。</w:t>
      </w:r>
    </w:p>
    <w:p>
      <w:pPr>
        <w:pStyle w:val="59"/>
        <w:ind w:firstLine="480"/>
        <w:jc w:val="center"/>
      </w:pPr>
    </w:p>
    <w:p>
      <w:pPr>
        <w:pStyle w:val="41"/>
        <w:numPr>
          <w:ilvl w:val="0"/>
          <w:numId w:val="0"/>
        </w:numPr>
        <w:rPr>
          <w:rFonts w:hint="default" w:eastAsia="宋体"/>
          <w:lang w:val="en-US" w:eastAsia="zh-CN"/>
        </w:rPr>
      </w:pPr>
      <w:r>
        <w:rPr>
          <w:rFonts w:hint="eastAsia"/>
        </w:rPr>
        <w:t>天水市</w:t>
      </w:r>
      <w:r>
        <w:rPr>
          <w:rFonts w:hint="eastAsia"/>
          <w:lang w:val="en-US" w:eastAsia="zh-CN"/>
        </w:rPr>
        <w:t>电子保函（保险电子保单）</w:t>
      </w:r>
    </w:p>
    <w:p>
      <w:pPr>
        <w:pStyle w:val="41"/>
        <w:numPr>
          <w:ilvl w:val="0"/>
          <w:numId w:val="0"/>
        </w:numPr>
      </w:pPr>
      <w:r>
        <w:rPr>
          <w:rFonts w:hint="eastAsia"/>
        </w:rPr>
        <w:t>保险公司特别约定</w:t>
      </w:r>
    </w:p>
    <w:p>
      <w:pPr>
        <w:pStyle w:val="59"/>
        <w:ind w:firstLine="480"/>
      </w:pPr>
      <w:r>
        <w:rPr>
          <w:rFonts w:hint="eastAsia"/>
        </w:rPr>
        <w:t>一、本特别约定，作为投标保证保险</w:t>
      </w:r>
      <w:r>
        <w:t>合同</w:t>
      </w:r>
      <w:r>
        <w:rPr>
          <w:rFonts w:hint="eastAsia"/>
        </w:rPr>
        <w:t>的有效组成部分，与保险保单或其它保险凭证具有同等法律效力。</w:t>
      </w:r>
    </w:p>
    <w:p>
      <w:pPr>
        <w:pStyle w:val="59"/>
        <w:ind w:firstLine="480"/>
      </w:pPr>
      <w:r>
        <w:rPr>
          <w:rFonts w:hint="eastAsia"/>
        </w:rPr>
        <w:t>二、保险单生效时间为投保项目投标截止时间，保险期间为投保项目《招标文件》中载明的投标有效期。</w:t>
      </w:r>
    </w:p>
    <w:p>
      <w:pPr>
        <w:pStyle w:val="59"/>
        <w:ind w:firstLine="480"/>
      </w:pPr>
      <w:r>
        <w:rPr>
          <w:rFonts w:hint="eastAsia"/>
        </w:rPr>
        <w:t>三、投保人违反所投项目《招标文件》规定要求导致投标保证金不予退还情形的均属于本保单保险责任。</w:t>
      </w:r>
    </w:p>
    <w:p>
      <w:pPr>
        <w:pStyle w:val="59"/>
        <w:ind w:firstLine="480"/>
      </w:pPr>
      <w:r>
        <w:rPr>
          <w:rFonts w:hint="eastAsia"/>
        </w:rPr>
        <w:t>四、退保处理</w:t>
      </w:r>
    </w:p>
    <w:p>
      <w:pPr>
        <w:pStyle w:val="59"/>
        <w:ind w:firstLine="480"/>
      </w:pPr>
      <w:r>
        <w:rPr>
          <w:rFonts w:hint="eastAsia"/>
        </w:rPr>
        <w:t>1.</w:t>
      </w:r>
      <w:r>
        <w:t>项目发生中止、暂停的</w:t>
      </w:r>
      <w:r>
        <w:rPr>
          <w:rFonts w:hint="eastAsia"/>
        </w:rPr>
        <w:t>，可进行退保；</w:t>
      </w:r>
    </w:p>
    <w:p>
      <w:pPr>
        <w:pStyle w:val="59"/>
        <w:ind w:firstLine="480"/>
      </w:pPr>
      <w:r>
        <w:rPr>
          <w:rFonts w:hint="eastAsia"/>
          <w:lang w:val="en-US"/>
        </w:rPr>
        <w:t>2</w:t>
      </w:r>
      <w:r>
        <w:rPr>
          <w:rFonts w:hint="eastAsia"/>
        </w:rPr>
        <w:t>.开标后项目发生流标的，可进行退保；</w:t>
      </w:r>
    </w:p>
    <w:p>
      <w:pPr>
        <w:pStyle w:val="59"/>
        <w:ind w:firstLine="480"/>
      </w:pPr>
      <w:r>
        <w:rPr>
          <w:rFonts w:hint="eastAsia"/>
          <w:lang w:val="en-US"/>
        </w:rPr>
        <w:t>3</w:t>
      </w:r>
      <w:r>
        <w:rPr>
          <w:rFonts w:hint="eastAsia"/>
        </w:rPr>
        <w:t>.除上述情形外均不予退保。</w:t>
      </w:r>
    </w:p>
    <w:p>
      <w:pPr>
        <w:pStyle w:val="59"/>
        <w:ind w:firstLine="480"/>
      </w:pPr>
      <w:r>
        <w:rPr>
          <w:rFonts w:hint="eastAsia"/>
          <w:lang w:val="en-US"/>
        </w:rPr>
        <w:t>4</w:t>
      </w:r>
      <w:r>
        <w:rPr>
          <w:rFonts w:hint="eastAsia"/>
        </w:rPr>
        <w:t>.投保人办理退保事宜</w:t>
      </w:r>
      <w:r>
        <w:t>，满足退保条件的，</w:t>
      </w:r>
      <w:r>
        <w:rPr>
          <w:rFonts w:hint="eastAsia"/>
        </w:rPr>
        <w:t>保险费全额退还。</w:t>
      </w:r>
    </w:p>
    <w:p>
      <w:pPr>
        <w:pStyle w:val="59"/>
        <w:ind w:firstLine="480"/>
      </w:pPr>
      <w:r>
        <w:rPr>
          <w:rFonts w:hint="eastAsia"/>
        </w:rPr>
        <w:t>五、线下理赔材料提供如下：</w:t>
      </w:r>
    </w:p>
    <w:p>
      <w:pPr>
        <w:pStyle w:val="59"/>
        <w:ind w:firstLine="480"/>
      </w:pPr>
      <w:r>
        <w:rPr>
          <w:rFonts w:hint="eastAsia"/>
        </w:rPr>
        <w:t>1.索赔申请书；</w:t>
      </w:r>
    </w:p>
    <w:p>
      <w:pPr>
        <w:pStyle w:val="59"/>
        <w:ind w:firstLine="480"/>
      </w:pPr>
      <w:r>
        <w:rPr>
          <w:rFonts w:hint="eastAsia"/>
        </w:rPr>
        <w:t>2.招标文件和投标文件；</w:t>
      </w:r>
    </w:p>
    <w:p>
      <w:pPr>
        <w:pStyle w:val="59"/>
        <w:ind w:firstLine="480"/>
      </w:pPr>
      <w:r>
        <w:rPr>
          <w:rFonts w:hint="eastAsia"/>
        </w:rPr>
        <w:t>3.投保人违约证明材料。</w:t>
      </w:r>
    </w:p>
    <w:p>
      <w:pPr>
        <w:pStyle w:val="59"/>
        <w:ind w:firstLine="480"/>
      </w:pPr>
      <w:r>
        <w:rPr>
          <w:rFonts w:hint="eastAsia"/>
        </w:rPr>
        <w:t>六、保险公司应在收到索赔申请书和相关材料后10个工作日内完成理赔。</w:t>
      </w:r>
    </w:p>
    <w:p>
      <w:pPr>
        <w:pStyle w:val="59"/>
        <w:ind w:firstLine="480"/>
      </w:pPr>
      <w:r>
        <w:rPr>
          <w:rFonts w:hint="eastAsia"/>
        </w:rPr>
        <w:t>七、保险人向被保险人赔偿后，保险人享有向投保人追偿的权利。</w:t>
      </w:r>
    </w:p>
    <w:p>
      <w:pPr>
        <w:pStyle w:val="59"/>
        <w:ind w:firstLine="480"/>
        <w:rPr>
          <w:rFonts w:hint="eastAsia"/>
        </w:rPr>
      </w:pPr>
    </w:p>
    <w:sectPr>
      <w:pgSz w:w="11906" w:h="16838"/>
      <w:pgMar w:top="1440" w:right="1803" w:bottom="1440" w:left="1803" w:header="1134" w:footer="1264"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58240" behindDoc="0" locked="0" layoutInCell="1" allowOverlap="1">
              <wp:simplePos x="0" y="0"/>
              <wp:positionH relativeFrom="margin">
                <wp:posOffset>2179320</wp:posOffset>
              </wp:positionH>
              <wp:positionV relativeFrom="paragraph">
                <wp:posOffset>3810</wp:posOffset>
              </wp:positionV>
              <wp:extent cx="112395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1239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1</w:t>
                          </w:r>
                          <w:r>
                            <w:rPr>
                              <w:rFonts w:hint="eastAsia"/>
                              <w:sz w:val="18"/>
                              <w:lang w:val="en-US" w:eastAsia="zh-CN"/>
                            </w:rPr>
                            <w:t>9</w:t>
                          </w:r>
                          <w:r>
                            <w:rPr>
                              <w:sz w:val="18"/>
                            </w:rPr>
                            <w:t>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1.6pt;margin-top:0.3pt;height:144pt;width:88.5pt;mso-position-horizontal-relative:margin;z-index:251658240;mso-width-relative:page;mso-height-relative:page;" filled="f" stroked="f" coordsize="21600,21600" o:gfxdata="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FjWgB1wAAAAgBAAAPAAAAAAAAAAEAIAAAACIAAABkcnMvZG93bnJldi54bWxQ&#10;SwECFAAUAAAACACHTuJA8TYU4TECAABXBAAADgAAAAAAAAABACAAAAAmAQAAZHJzL2Uyb0RvYy54&#10;bWxQSwUGAAAAAAYABgBZAQAAyQUAAAAA&#10;">
              <v:fill on="f" focussize="0,0"/>
              <v:stroke on="f" weight="0.5pt"/>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1</w:t>
                    </w:r>
                    <w:r>
                      <w:rPr>
                        <w:rFonts w:hint="eastAsia"/>
                        <w:sz w:val="18"/>
                        <w:lang w:val="en-US" w:eastAsia="zh-CN"/>
                      </w:rPr>
                      <w:t>9</w:t>
                    </w:r>
                    <w:r>
                      <w:rPr>
                        <w:sz w:val="18"/>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8846003"/>
    </w:sdtPr>
    <w:sdtContent>
      <w:sdt>
        <w:sdtPr>
          <w:id w:val="1728636285"/>
        </w:sdtPr>
        <w:sdtContent>
          <w:p>
            <w:pPr>
              <w:pStyle w:val="14"/>
              <w:jc w:val="center"/>
            </w:pPr>
            <w:r>
              <w:rPr>
                <w:rFonts w:hint="eastAsia"/>
              </w:rPr>
              <w:t>第</w:t>
            </w:r>
            <w: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t xml:space="preserve"> </w:t>
            </w:r>
            <w:r>
              <w:rPr>
                <w:rFonts w:hint="eastAsia"/>
              </w:rPr>
              <w:t>页</w:t>
            </w:r>
            <w:r>
              <w:t>/</w:t>
            </w:r>
            <w:r>
              <w:rPr>
                <w:rFonts w:hint="eastAsia"/>
              </w:rPr>
              <w:t>共</w:t>
            </w:r>
            <w:r>
              <w:t xml:space="preserve"> </w:t>
            </w:r>
            <w:r>
              <w:rPr>
                <w:rFonts w:hint="eastAsia"/>
                <w:b/>
                <w:bCs/>
                <w:sz w:val="24"/>
                <w:szCs w:val="24"/>
                <w:lang w:val="en-US" w:eastAsia="zh-CN"/>
              </w:rPr>
              <w:t>19</w:t>
            </w:r>
            <w:r>
              <w:rPr>
                <w:rFonts w:hint="eastAsia"/>
              </w:rPr>
              <w:t xml:space="preserve"> 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1"/>
      <w:lvlText w:val=""/>
      <w:lvlJc w:val="left"/>
      <w:pPr>
        <w:tabs>
          <w:tab w:val="left" w:pos="360"/>
        </w:tabs>
        <w:ind w:left="360" w:hanging="360" w:hangingChars="200"/>
      </w:pPr>
      <w:rPr>
        <w:rFonts w:hint="default" w:ascii="Wingdings" w:hAnsi="Wingdings"/>
      </w:rPr>
    </w:lvl>
  </w:abstractNum>
  <w:abstractNum w:abstractNumId="1">
    <w:nsid w:val="0D5E792F"/>
    <w:multiLevelType w:val="multilevel"/>
    <w:tmpl w:val="0D5E792F"/>
    <w:lvl w:ilvl="0" w:tentative="0">
      <w:start w:val="1"/>
      <w:numFmt w:val="decimal"/>
      <w:suff w:val="space"/>
      <w:lvlText w:val="第%1章 "/>
      <w:lvlJc w:val="left"/>
      <w:pPr>
        <w:ind w:left="0" w:firstLine="0"/>
      </w:pPr>
      <w:rPr>
        <w:rFonts w:hint="eastAsia"/>
        <w:b/>
        <w:sz w:val="36"/>
      </w:rPr>
    </w:lvl>
    <w:lvl w:ilvl="1" w:tentative="0">
      <w:start w:val="1"/>
      <w:numFmt w:val="decimal"/>
      <w:pStyle w:val="3"/>
      <w:isLgl/>
      <w:suff w:val="space"/>
      <w:lvlText w:val="%1.%2 "/>
      <w:lvlJc w:val="left"/>
      <w:pPr>
        <w:ind w:left="851" w:hanging="567"/>
      </w:pPr>
      <w:rPr>
        <w:rFonts w:hint="default" w:ascii="Times New Roman" w:hAnsi="Times New Roman"/>
      </w:rPr>
    </w:lvl>
    <w:lvl w:ilvl="2" w:tentative="0">
      <w:start w:val="1"/>
      <w:numFmt w:val="decimal"/>
      <w:pStyle w:val="4"/>
      <w:isLgl/>
      <w:suff w:val="space"/>
      <w:lvlText w:val="%1.%2.%3 "/>
      <w:lvlJc w:val="left"/>
      <w:pPr>
        <w:ind w:left="567" w:hanging="567"/>
      </w:pPr>
      <w:rPr>
        <w:rFonts w:hint="eastAsia"/>
      </w:rPr>
    </w:lvl>
    <w:lvl w:ilvl="3" w:tentative="0">
      <w:start w:val="1"/>
      <w:numFmt w:val="decimal"/>
      <w:pStyle w:val="5"/>
      <w:isLgl/>
      <w:lvlText w:val="%1.%2.%3.%4 "/>
      <w:lvlJc w:val="left"/>
      <w:pPr>
        <w:tabs>
          <w:tab w:val="left" w:pos="864"/>
        </w:tabs>
        <w:ind w:left="567" w:hanging="567"/>
      </w:pPr>
      <w:rPr>
        <w:rFonts w:hint="eastAsia" w:ascii="Times New Roman" w:hAnsi="Times New Roman" w:cs="Times New Roman"/>
        <w:b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pStyle w:val="6"/>
      <w:isLgl/>
      <w:suff w:val="space"/>
      <w:lvlText w:val="%1.%2.%3.%4.%5 "/>
      <w:lvlJc w:val="left"/>
      <w:pPr>
        <w:ind w:left="567" w:hanging="567"/>
      </w:pPr>
      <w:rPr>
        <w:rFonts w:hint="eastAsia"/>
      </w:rPr>
    </w:lvl>
    <w:lvl w:ilvl="5" w:tentative="0">
      <w:start w:val="1"/>
      <w:numFmt w:val="decimal"/>
      <w:pStyle w:val="7"/>
      <w:lvlText w:val="%1.%2.%3.%4.%5.%6"/>
      <w:lvlJc w:val="left"/>
      <w:pPr>
        <w:tabs>
          <w:tab w:val="left" w:pos="1152"/>
        </w:tabs>
        <w:ind w:left="1152" w:hanging="1152"/>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abstractNum w:abstractNumId="2">
    <w:nsid w:val="5DD364E4"/>
    <w:multiLevelType w:val="singleLevel"/>
    <w:tmpl w:val="5DD364E4"/>
    <w:lvl w:ilvl="0" w:tentative="0">
      <w:start w:val="1"/>
      <w:numFmt w:val="chineseCounting"/>
      <w:suff w:val="nothing"/>
      <w:lvlText w:val="%1、"/>
      <w:lvlJc w:val="left"/>
      <w:pPr>
        <w:ind w:left="0" w:firstLine="420"/>
      </w:pPr>
      <w:rPr>
        <w:rFonts w:hint="eastAsia"/>
      </w:rPr>
    </w:lvl>
  </w:abstractNum>
  <w:abstractNum w:abstractNumId="3">
    <w:nsid w:val="5EEB55CC"/>
    <w:multiLevelType w:val="multilevel"/>
    <w:tmpl w:val="5EEB55CC"/>
    <w:lvl w:ilvl="0" w:tentative="0">
      <w:start w:val="1"/>
      <w:numFmt w:val="chineseCounting"/>
      <w:suff w:val="nothing"/>
      <w:lvlText w:val="%1、"/>
      <w:lvlJc w:val="left"/>
      <w:pPr>
        <w:tabs>
          <w:tab w:val="left" w:pos="420"/>
        </w:tabs>
        <w:ind w:left="0" w:firstLine="420"/>
      </w:pPr>
      <w:rPr>
        <w:rFonts w:hint="eastAsia" w:ascii="宋体" w:hAnsi="宋体" w:eastAsia="宋体" w:cs="宋体"/>
      </w:rPr>
    </w:lvl>
    <w:lvl w:ilvl="1" w:tentative="0">
      <w:start w:val="1"/>
      <w:numFmt w:val="chineseCounting"/>
      <w:pStyle w:val="43"/>
      <w:lvlText w:val="%2、"/>
      <w:lvlJc w:val="left"/>
      <w:pPr>
        <w:tabs>
          <w:tab w:val="left" w:pos="420"/>
        </w:tabs>
        <w:ind w:left="840" w:hanging="420"/>
      </w:pPr>
      <w:rPr>
        <w:rFonts w:hint="eastAsia" w:ascii="宋体" w:hAnsi="宋体" w:eastAsia="宋体" w:cs="宋体"/>
      </w:rPr>
    </w:lvl>
    <w:lvl w:ilvl="2" w:tentative="0">
      <w:start w:val="1"/>
      <w:numFmt w:val="chineseCounting"/>
      <w:pStyle w:val="45"/>
      <w:lvlText w:val="（%3）"/>
      <w:lvlJc w:val="left"/>
      <w:pPr>
        <w:tabs>
          <w:tab w:val="left" w:pos="420"/>
        </w:tabs>
        <w:ind w:left="840" w:hanging="420"/>
      </w:pPr>
      <w:rPr>
        <w:rFonts w:hint="eastAsia" w:ascii="宋体" w:hAnsi="宋体" w:eastAsia="宋体" w:cs="宋体"/>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left"/>
      <w:pPr>
        <w:tabs>
          <w:tab w:val="left" w:pos="3780"/>
        </w:tabs>
        <w:ind w:left="3780" w:hanging="420"/>
      </w:pPr>
      <w:rPr>
        <w:rFonts w:hint="eastAsia"/>
      </w:rPr>
    </w:lvl>
  </w:abstractNum>
  <w:abstractNum w:abstractNumId="4">
    <w:nsid w:val="5F291D74"/>
    <w:multiLevelType w:val="multilevel"/>
    <w:tmpl w:val="5F291D74"/>
    <w:lvl w:ilvl="0" w:tentative="0">
      <w:start w:val="1"/>
      <w:numFmt w:val="chineseCounting"/>
      <w:pStyle w:val="61"/>
      <w:suff w:val="space"/>
      <w:lvlText w:val="第%1章"/>
      <w:lvlJc w:val="left"/>
      <w:pPr>
        <w:tabs>
          <w:tab w:val="left" w:pos="420"/>
        </w:tabs>
        <w:ind w:left="0" w:firstLine="0"/>
      </w:pPr>
      <w:rPr>
        <w:rFonts w:hint="eastAsia" w:ascii="宋体" w:hAnsi="宋体" w:eastAsia="宋体" w:cs="宋体"/>
      </w:rPr>
    </w:lvl>
    <w:lvl w:ilvl="1" w:tentative="0">
      <w:start w:val="1"/>
      <w:numFmt w:val="chineseCounting"/>
      <w:pStyle w:val="64"/>
      <w:suff w:val="space"/>
      <w:lvlText w:val="第%2节"/>
      <w:lvlJc w:val="left"/>
      <w:pPr>
        <w:tabs>
          <w:tab w:val="left" w:pos="420"/>
        </w:tabs>
        <w:ind w:left="0" w:firstLine="0"/>
      </w:pPr>
      <w:rPr>
        <w:rFonts w:hint="eastAsia" w:ascii="宋体" w:hAnsi="宋体" w:eastAsia="宋体" w:cs="宋体"/>
      </w:rPr>
    </w:lvl>
    <w:lvl w:ilvl="2" w:tentative="0">
      <w:start w:val="1"/>
      <w:numFmt w:val="decimal"/>
      <w:pStyle w:val="65"/>
      <w:suff w:val="nothing"/>
      <w:lvlText w:val="%3．"/>
      <w:lvlJc w:val="left"/>
      <w:pPr>
        <w:ind w:left="0" w:firstLine="402"/>
      </w:pPr>
      <w:rPr>
        <w:rFonts w:hint="eastAsia"/>
      </w:rPr>
    </w:lvl>
    <w:lvl w:ilvl="3" w:tentative="0">
      <w:start w:val="1"/>
      <w:numFmt w:val="decimal"/>
      <w:pStyle w:val="66"/>
      <w:suff w:val="nothing"/>
      <w:lvlText w:val="（%4）"/>
      <w:lvlJc w:val="left"/>
      <w:pPr>
        <w:ind w:left="0" w:firstLine="402"/>
      </w:pPr>
      <w:rPr>
        <w:rFonts w:hint="eastAsia"/>
      </w:rPr>
    </w:lvl>
    <w:lvl w:ilvl="4" w:tentative="0">
      <w:start w:val="1"/>
      <w:numFmt w:val="decimalEnclosedCircleChinese"/>
      <w:pStyle w:val="67"/>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7D8813A8"/>
    <w:multiLevelType w:val="multilevel"/>
    <w:tmpl w:val="7D8813A8"/>
    <w:lvl w:ilvl="0" w:tentative="0">
      <w:start w:val="1"/>
      <w:numFmt w:val="decimal"/>
      <w:pStyle w:val="40"/>
      <w:suff w:val="space"/>
      <w:lvlText w:val="第%1章 "/>
      <w:lvlJc w:val="left"/>
      <w:pPr>
        <w:ind w:left="0" w:firstLine="0"/>
      </w:pPr>
      <w:rPr>
        <w:rFonts w:hint="eastAsia"/>
        <w:b/>
        <w:sz w:val="44"/>
      </w:rPr>
    </w:lvl>
    <w:lvl w:ilvl="1" w:tentative="0">
      <w:start w:val="1"/>
      <w:numFmt w:val="decimal"/>
      <w:isLgl/>
      <w:suff w:val="space"/>
      <w:lvlText w:val="%1.%2 "/>
      <w:lvlJc w:val="left"/>
      <w:pPr>
        <w:ind w:left="567" w:hanging="567"/>
      </w:pPr>
      <w:rPr>
        <w:rFonts w:hint="default" w:ascii="Times New Roman" w:hAnsi="Times New Roman"/>
      </w:rPr>
    </w:lvl>
    <w:lvl w:ilvl="2" w:tentative="0">
      <w:start w:val="1"/>
      <w:numFmt w:val="decimal"/>
      <w:isLgl/>
      <w:suff w:val="space"/>
      <w:lvlText w:val="%1.%2.%3 "/>
      <w:lvlJc w:val="left"/>
      <w:pPr>
        <w:ind w:left="567" w:hanging="567"/>
      </w:pPr>
      <w:rPr>
        <w:rFonts w:hint="eastAsia"/>
      </w:rPr>
    </w:lvl>
    <w:lvl w:ilvl="3" w:tentative="0">
      <w:start w:val="1"/>
      <w:numFmt w:val="decimal"/>
      <w:pStyle w:val="47"/>
      <w:isLgl/>
      <w:lvlText w:val="%1.%2.%3.%4 "/>
      <w:lvlJc w:val="left"/>
      <w:pPr>
        <w:tabs>
          <w:tab w:val="left" w:pos="864"/>
        </w:tabs>
        <w:ind w:left="567" w:hanging="567"/>
      </w:pPr>
      <w:rPr>
        <w:rFonts w:hint="eastAsia" w:ascii="Times New Roman" w:hAnsi="Times New Roman" w:cs="Times New Roman"/>
        <w:b/>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pStyle w:val="49"/>
      <w:isLgl/>
      <w:suff w:val="space"/>
      <w:lvlText w:val="%1.%2.%3.%4.%5 "/>
      <w:lvlJc w:val="left"/>
      <w:pPr>
        <w:ind w:left="567" w:hanging="567"/>
      </w:pPr>
      <w:rPr>
        <w:rFonts w:hint="eastAsia"/>
      </w:rPr>
    </w:lvl>
    <w:lvl w:ilvl="5" w:tentative="0">
      <w:start w:val="1"/>
      <w:numFmt w:val="decimal"/>
      <w:pStyle w:val="51"/>
      <w:lvlText w:val="%1.%2.%3.%4.%5.%6"/>
      <w:lvlJc w:val="left"/>
      <w:pPr>
        <w:tabs>
          <w:tab w:val="left" w:pos="1152"/>
        </w:tabs>
        <w:ind w:left="1152" w:hanging="1152"/>
      </w:pPr>
      <w:rPr>
        <w:rFonts w:hint="default" w:ascii="Times New Roman" w:hAnsi="Times New Roman" w:cs="Times New Roman"/>
      </w:rPr>
    </w:lvl>
    <w:lvl w:ilvl="6" w:tentative="0">
      <w:start w:val="1"/>
      <w:numFmt w:val="decimal"/>
      <w:pStyle w:val="53"/>
      <w:lvlText w:val="%1.%2.%3.%4.%5.%6.%7"/>
      <w:lvlJc w:val="left"/>
      <w:pPr>
        <w:tabs>
          <w:tab w:val="left" w:pos="1296"/>
        </w:tabs>
        <w:ind w:left="1296" w:hanging="1296"/>
      </w:pPr>
      <w:rPr>
        <w:rFonts w:hint="eastAsia"/>
      </w:rPr>
    </w:lvl>
    <w:lvl w:ilvl="7" w:tentative="0">
      <w:start w:val="1"/>
      <w:numFmt w:val="decimal"/>
      <w:pStyle w:val="55"/>
      <w:lvlText w:val="%1.%2.%3.%4.%5.%6.%7.%8"/>
      <w:lvlJc w:val="left"/>
      <w:pPr>
        <w:tabs>
          <w:tab w:val="left" w:pos="1440"/>
        </w:tabs>
        <w:ind w:left="1440" w:hanging="1440"/>
      </w:pPr>
      <w:rPr>
        <w:rFonts w:hint="default" w:ascii="Times New Roman" w:hAnsi="Times New Roman" w:cs="Times New Roman"/>
      </w:rPr>
    </w:lvl>
    <w:lvl w:ilvl="8" w:tentative="0">
      <w:start w:val="1"/>
      <w:numFmt w:val="decimal"/>
      <w:pStyle w:val="57"/>
      <w:lvlText w:val="%1.%2.%3.%4.%5.%6.%7.%8.%9"/>
      <w:lvlJc w:val="left"/>
      <w:pPr>
        <w:tabs>
          <w:tab w:val="left" w:pos="1584"/>
        </w:tabs>
        <w:ind w:left="1584" w:hanging="1584"/>
      </w:pPr>
      <w:rPr>
        <w:rFonts w:hint="default" w:ascii="Times New Roman" w:hAnsi="Times New Roman" w:cs="Times New Roman"/>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2"/>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5E2"/>
    <w:rsid w:val="00000650"/>
    <w:rsid w:val="00004F99"/>
    <w:rsid w:val="00007A27"/>
    <w:rsid w:val="00013A9C"/>
    <w:rsid w:val="00015372"/>
    <w:rsid w:val="000161C9"/>
    <w:rsid w:val="000206B9"/>
    <w:rsid w:val="00024E21"/>
    <w:rsid w:val="00035574"/>
    <w:rsid w:val="00037C2B"/>
    <w:rsid w:val="000403CA"/>
    <w:rsid w:val="0004513F"/>
    <w:rsid w:val="000515E2"/>
    <w:rsid w:val="00053316"/>
    <w:rsid w:val="00056200"/>
    <w:rsid w:val="000635C6"/>
    <w:rsid w:val="00082DBF"/>
    <w:rsid w:val="000840BD"/>
    <w:rsid w:val="000841CA"/>
    <w:rsid w:val="00090198"/>
    <w:rsid w:val="00093997"/>
    <w:rsid w:val="00093E35"/>
    <w:rsid w:val="000950D8"/>
    <w:rsid w:val="000A2A1E"/>
    <w:rsid w:val="000A4A92"/>
    <w:rsid w:val="000B5595"/>
    <w:rsid w:val="000C0B61"/>
    <w:rsid w:val="000C2603"/>
    <w:rsid w:val="000C2B58"/>
    <w:rsid w:val="000C33CA"/>
    <w:rsid w:val="000C3EAA"/>
    <w:rsid w:val="000C459B"/>
    <w:rsid w:val="000D2B42"/>
    <w:rsid w:val="000D446D"/>
    <w:rsid w:val="000D5CFE"/>
    <w:rsid w:val="000F319F"/>
    <w:rsid w:val="000F4E0B"/>
    <w:rsid w:val="000F5335"/>
    <w:rsid w:val="000F6BD4"/>
    <w:rsid w:val="001011B3"/>
    <w:rsid w:val="00107CB7"/>
    <w:rsid w:val="00110278"/>
    <w:rsid w:val="001105BB"/>
    <w:rsid w:val="00110605"/>
    <w:rsid w:val="00111581"/>
    <w:rsid w:val="001121A0"/>
    <w:rsid w:val="0011224E"/>
    <w:rsid w:val="00121326"/>
    <w:rsid w:val="0012362A"/>
    <w:rsid w:val="001341FD"/>
    <w:rsid w:val="00137D0B"/>
    <w:rsid w:val="00140CC3"/>
    <w:rsid w:val="00144208"/>
    <w:rsid w:val="00144ED2"/>
    <w:rsid w:val="0014683B"/>
    <w:rsid w:val="001478E2"/>
    <w:rsid w:val="001510EB"/>
    <w:rsid w:val="00151D49"/>
    <w:rsid w:val="00153308"/>
    <w:rsid w:val="001626D1"/>
    <w:rsid w:val="00170094"/>
    <w:rsid w:val="00171886"/>
    <w:rsid w:val="00174ED2"/>
    <w:rsid w:val="00182958"/>
    <w:rsid w:val="001839EB"/>
    <w:rsid w:val="0018695D"/>
    <w:rsid w:val="00193725"/>
    <w:rsid w:val="00197C92"/>
    <w:rsid w:val="001A3C78"/>
    <w:rsid w:val="001A5205"/>
    <w:rsid w:val="001B118E"/>
    <w:rsid w:val="001B2CFE"/>
    <w:rsid w:val="001B37D4"/>
    <w:rsid w:val="001B4D1E"/>
    <w:rsid w:val="001B660D"/>
    <w:rsid w:val="001C28FC"/>
    <w:rsid w:val="001C2CB6"/>
    <w:rsid w:val="001C31C1"/>
    <w:rsid w:val="001C512C"/>
    <w:rsid w:val="001D63B0"/>
    <w:rsid w:val="001E389F"/>
    <w:rsid w:val="001E540C"/>
    <w:rsid w:val="001F20BD"/>
    <w:rsid w:val="0020050B"/>
    <w:rsid w:val="002015DD"/>
    <w:rsid w:val="002029B5"/>
    <w:rsid w:val="00203F08"/>
    <w:rsid w:val="00205DD5"/>
    <w:rsid w:val="00213A78"/>
    <w:rsid w:val="0021576F"/>
    <w:rsid w:val="00226E10"/>
    <w:rsid w:val="00233186"/>
    <w:rsid w:val="002358B2"/>
    <w:rsid w:val="0023699C"/>
    <w:rsid w:val="00242FC7"/>
    <w:rsid w:val="0024301E"/>
    <w:rsid w:val="0024527E"/>
    <w:rsid w:val="00245FF3"/>
    <w:rsid w:val="002534DA"/>
    <w:rsid w:val="00257D83"/>
    <w:rsid w:val="002727DF"/>
    <w:rsid w:val="00283835"/>
    <w:rsid w:val="0028554F"/>
    <w:rsid w:val="00297E72"/>
    <w:rsid w:val="002A200F"/>
    <w:rsid w:val="002A33D0"/>
    <w:rsid w:val="002A4C4B"/>
    <w:rsid w:val="002A4C93"/>
    <w:rsid w:val="002A5949"/>
    <w:rsid w:val="002A6E97"/>
    <w:rsid w:val="002A6F17"/>
    <w:rsid w:val="002A73B9"/>
    <w:rsid w:val="002B0203"/>
    <w:rsid w:val="002B1C37"/>
    <w:rsid w:val="002B2B72"/>
    <w:rsid w:val="002B4BB0"/>
    <w:rsid w:val="002B5EBB"/>
    <w:rsid w:val="002B7C6D"/>
    <w:rsid w:val="002D6D49"/>
    <w:rsid w:val="002E1CA3"/>
    <w:rsid w:val="002E34C5"/>
    <w:rsid w:val="002E37D1"/>
    <w:rsid w:val="002E75E4"/>
    <w:rsid w:val="002F0385"/>
    <w:rsid w:val="0030475C"/>
    <w:rsid w:val="00304F70"/>
    <w:rsid w:val="003153D2"/>
    <w:rsid w:val="00322417"/>
    <w:rsid w:val="00324E51"/>
    <w:rsid w:val="00330F11"/>
    <w:rsid w:val="00346B8E"/>
    <w:rsid w:val="003528BA"/>
    <w:rsid w:val="00354951"/>
    <w:rsid w:val="003552C2"/>
    <w:rsid w:val="003730B5"/>
    <w:rsid w:val="00373B27"/>
    <w:rsid w:val="00383467"/>
    <w:rsid w:val="0039259A"/>
    <w:rsid w:val="00397DD8"/>
    <w:rsid w:val="003A4981"/>
    <w:rsid w:val="003B1F6B"/>
    <w:rsid w:val="003B21B2"/>
    <w:rsid w:val="003B54DA"/>
    <w:rsid w:val="003B6283"/>
    <w:rsid w:val="003B6AD6"/>
    <w:rsid w:val="003C1129"/>
    <w:rsid w:val="003C5661"/>
    <w:rsid w:val="003C652A"/>
    <w:rsid w:val="003D2E99"/>
    <w:rsid w:val="003D3944"/>
    <w:rsid w:val="003D42F4"/>
    <w:rsid w:val="003D616F"/>
    <w:rsid w:val="003D6C9A"/>
    <w:rsid w:val="003D7A83"/>
    <w:rsid w:val="003E1F1B"/>
    <w:rsid w:val="003E3247"/>
    <w:rsid w:val="003E5963"/>
    <w:rsid w:val="003E6193"/>
    <w:rsid w:val="003F00AB"/>
    <w:rsid w:val="003F4430"/>
    <w:rsid w:val="0040062E"/>
    <w:rsid w:val="004020FB"/>
    <w:rsid w:val="00406B1F"/>
    <w:rsid w:val="00407301"/>
    <w:rsid w:val="004157DE"/>
    <w:rsid w:val="00417972"/>
    <w:rsid w:val="004257D9"/>
    <w:rsid w:val="004316AE"/>
    <w:rsid w:val="00433A50"/>
    <w:rsid w:val="0044194E"/>
    <w:rsid w:val="00441D24"/>
    <w:rsid w:val="00442235"/>
    <w:rsid w:val="00446447"/>
    <w:rsid w:val="004479DA"/>
    <w:rsid w:val="00454418"/>
    <w:rsid w:val="004566C1"/>
    <w:rsid w:val="00470305"/>
    <w:rsid w:val="0048372F"/>
    <w:rsid w:val="0048561F"/>
    <w:rsid w:val="00485AD9"/>
    <w:rsid w:val="00490D0F"/>
    <w:rsid w:val="00493170"/>
    <w:rsid w:val="00493984"/>
    <w:rsid w:val="004B5817"/>
    <w:rsid w:val="004C13BD"/>
    <w:rsid w:val="004C7C66"/>
    <w:rsid w:val="004F02A9"/>
    <w:rsid w:val="004F16CB"/>
    <w:rsid w:val="004F38C9"/>
    <w:rsid w:val="00505589"/>
    <w:rsid w:val="00506B03"/>
    <w:rsid w:val="00506E73"/>
    <w:rsid w:val="00507F35"/>
    <w:rsid w:val="0051192D"/>
    <w:rsid w:val="005119F8"/>
    <w:rsid w:val="00513144"/>
    <w:rsid w:val="00526C04"/>
    <w:rsid w:val="00527191"/>
    <w:rsid w:val="00535D69"/>
    <w:rsid w:val="005452AA"/>
    <w:rsid w:val="00545A56"/>
    <w:rsid w:val="005526AC"/>
    <w:rsid w:val="00555863"/>
    <w:rsid w:val="0056135F"/>
    <w:rsid w:val="00564B25"/>
    <w:rsid w:val="0057340E"/>
    <w:rsid w:val="00587080"/>
    <w:rsid w:val="00590F28"/>
    <w:rsid w:val="00592624"/>
    <w:rsid w:val="00593154"/>
    <w:rsid w:val="00595A03"/>
    <w:rsid w:val="005A31C0"/>
    <w:rsid w:val="005A4E6D"/>
    <w:rsid w:val="005B0B19"/>
    <w:rsid w:val="005B700B"/>
    <w:rsid w:val="005C1DC3"/>
    <w:rsid w:val="005C2B47"/>
    <w:rsid w:val="005C4137"/>
    <w:rsid w:val="005C54A3"/>
    <w:rsid w:val="005C7F94"/>
    <w:rsid w:val="00600A6B"/>
    <w:rsid w:val="00601D41"/>
    <w:rsid w:val="006025CD"/>
    <w:rsid w:val="006078A6"/>
    <w:rsid w:val="00610E62"/>
    <w:rsid w:val="00613E33"/>
    <w:rsid w:val="00615722"/>
    <w:rsid w:val="00623987"/>
    <w:rsid w:val="00624627"/>
    <w:rsid w:val="00627251"/>
    <w:rsid w:val="00632226"/>
    <w:rsid w:val="0065124F"/>
    <w:rsid w:val="006516A0"/>
    <w:rsid w:val="00655F8B"/>
    <w:rsid w:val="006716C0"/>
    <w:rsid w:val="00674201"/>
    <w:rsid w:val="00674356"/>
    <w:rsid w:val="006779F4"/>
    <w:rsid w:val="00677D13"/>
    <w:rsid w:val="006823DE"/>
    <w:rsid w:val="00684E23"/>
    <w:rsid w:val="00687493"/>
    <w:rsid w:val="006B20D4"/>
    <w:rsid w:val="006B6D1A"/>
    <w:rsid w:val="006D3277"/>
    <w:rsid w:val="006D6514"/>
    <w:rsid w:val="006D75E7"/>
    <w:rsid w:val="006E64E1"/>
    <w:rsid w:val="006E6AFB"/>
    <w:rsid w:val="006E7883"/>
    <w:rsid w:val="006F0712"/>
    <w:rsid w:val="006F3763"/>
    <w:rsid w:val="006F5FAB"/>
    <w:rsid w:val="006F7245"/>
    <w:rsid w:val="00700AF2"/>
    <w:rsid w:val="007145AF"/>
    <w:rsid w:val="00725EC2"/>
    <w:rsid w:val="007351E0"/>
    <w:rsid w:val="00735DF2"/>
    <w:rsid w:val="00737CA7"/>
    <w:rsid w:val="00747FEB"/>
    <w:rsid w:val="00750C93"/>
    <w:rsid w:val="00756309"/>
    <w:rsid w:val="00773370"/>
    <w:rsid w:val="00775874"/>
    <w:rsid w:val="00785C5F"/>
    <w:rsid w:val="00793D12"/>
    <w:rsid w:val="00796E74"/>
    <w:rsid w:val="007A3943"/>
    <w:rsid w:val="007A5327"/>
    <w:rsid w:val="007A7F40"/>
    <w:rsid w:val="007B4D52"/>
    <w:rsid w:val="007B5906"/>
    <w:rsid w:val="007B5FA5"/>
    <w:rsid w:val="007B6F69"/>
    <w:rsid w:val="007C3677"/>
    <w:rsid w:val="007D3C38"/>
    <w:rsid w:val="007D7636"/>
    <w:rsid w:val="007E1A0A"/>
    <w:rsid w:val="007E65D9"/>
    <w:rsid w:val="007F4288"/>
    <w:rsid w:val="00810BE0"/>
    <w:rsid w:val="00810E06"/>
    <w:rsid w:val="0081482B"/>
    <w:rsid w:val="00823DCF"/>
    <w:rsid w:val="0082408B"/>
    <w:rsid w:val="0082573F"/>
    <w:rsid w:val="00832822"/>
    <w:rsid w:val="0083334B"/>
    <w:rsid w:val="0083616E"/>
    <w:rsid w:val="00840309"/>
    <w:rsid w:val="00847BD7"/>
    <w:rsid w:val="008628C4"/>
    <w:rsid w:val="008650BA"/>
    <w:rsid w:val="0086662D"/>
    <w:rsid w:val="0087078B"/>
    <w:rsid w:val="008719C1"/>
    <w:rsid w:val="00872BD6"/>
    <w:rsid w:val="00874DD9"/>
    <w:rsid w:val="008755E1"/>
    <w:rsid w:val="00876849"/>
    <w:rsid w:val="008956C2"/>
    <w:rsid w:val="008976C0"/>
    <w:rsid w:val="008A4F35"/>
    <w:rsid w:val="008A7C20"/>
    <w:rsid w:val="008A7C49"/>
    <w:rsid w:val="008B0150"/>
    <w:rsid w:val="008B58C7"/>
    <w:rsid w:val="008B65A7"/>
    <w:rsid w:val="008C138E"/>
    <w:rsid w:val="008C436B"/>
    <w:rsid w:val="008C6E19"/>
    <w:rsid w:val="008C75EF"/>
    <w:rsid w:val="008C7A8D"/>
    <w:rsid w:val="008D4B56"/>
    <w:rsid w:val="008E1D4B"/>
    <w:rsid w:val="008E6B12"/>
    <w:rsid w:val="008F10C3"/>
    <w:rsid w:val="008F142C"/>
    <w:rsid w:val="008F25EE"/>
    <w:rsid w:val="009038BA"/>
    <w:rsid w:val="0090533E"/>
    <w:rsid w:val="00905901"/>
    <w:rsid w:val="00906E5D"/>
    <w:rsid w:val="0091551F"/>
    <w:rsid w:val="00915DAB"/>
    <w:rsid w:val="00917D9F"/>
    <w:rsid w:val="009203F3"/>
    <w:rsid w:val="00924BAA"/>
    <w:rsid w:val="009259D4"/>
    <w:rsid w:val="00925AF3"/>
    <w:rsid w:val="0092770A"/>
    <w:rsid w:val="0093091F"/>
    <w:rsid w:val="00932C3B"/>
    <w:rsid w:val="00937C58"/>
    <w:rsid w:val="00941B1F"/>
    <w:rsid w:val="00942E45"/>
    <w:rsid w:val="00945F5D"/>
    <w:rsid w:val="009468C8"/>
    <w:rsid w:val="00951939"/>
    <w:rsid w:val="009621F0"/>
    <w:rsid w:val="00963F37"/>
    <w:rsid w:val="009707BF"/>
    <w:rsid w:val="00973475"/>
    <w:rsid w:val="00983DED"/>
    <w:rsid w:val="00984B52"/>
    <w:rsid w:val="00985E06"/>
    <w:rsid w:val="00991F3C"/>
    <w:rsid w:val="00993782"/>
    <w:rsid w:val="00994487"/>
    <w:rsid w:val="00996224"/>
    <w:rsid w:val="00996E79"/>
    <w:rsid w:val="009976A8"/>
    <w:rsid w:val="009A5CFC"/>
    <w:rsid w:val="009B27A3"/>
    <w:rsid w:val="009B5C24"/>
    <w:rsid w:val="009B7B3E"/>
    <w:rsid w:val="009C012C"/>
    <w:rsid w:val="009C18A9"/>
    <w:rsid w:val="009D0691"/>
    <w:rsid w:val="009D6325"/>
    <w:rsid w:val="009D7E7F"/>
    <w:rsid w:val="009E0527"/>
    <w:rsid w:val="009F1329"/>
    <w:rsid w:val="009F266D"/>
    <w:rsid w:val="00A11C70"/>
    <w:rsid w:val="00A13F62"/>
    <w:rsid w:val="00A16F1A"/>
    <w:rsid w:val="00A274DE"/>
    <w:rsid w:val="00A33C39"/>
    <w:rsid w:val="00A36E5B"/>
    <w:rsid w:val="00A53132"/>
    <w:rsid w:val="00A556C3"/>
    <w:rsid w:val="00A60A7F"/>
    <w:rsid w:val="00A83AD2"/>
    <w:rsid w:val="00A84CEE"/>
    <w:rsid w:val="00A9305F"/>
    <w:rsid w:val="00A930B4"/>
    <w:rsid w:val="00A97CD0"/>
    <w:rsid w:val="00AA1D21"/>
    <w:rsid w:val="00AA353C"/>
    <w:rsid w:val="00AA67A9"/>
    <w:rsid w:val="00AB7CF8"/>
    <w:rsid w:val="00AC0430"/>
    <w:rsid w:val="00AC1E5A"/>
    <w:rsid w:val="00AD3232"/>
    <w:rsid w:val="00AE7B33"/>
    <w:rsid w:val="00B0307D"/>
    <w:rsid w:val="00B17263"/>
    <w:rsid w:val="00B2226F"/>
    <w:rsid w:val="00B336D3"/>
    <w:rsid w:val="00B3671E"/>
    <w:rsid w:val="00B42354"/>
    <w:rsid w:val="00B43BBE"/>
    <w:rsid w:val="00B516C2"/>
    <w:rsid w:val="00B54BC4"/>
    <w:rsid w:val="00B55C4F"/>
    <w:rsid w:val="00B613F9"/>
    <w:rsid w:val="00B622E9"/>
    <w:rsid w:val="00B655F3"/>
    <w:rsid w:val="00B675CD"/>
    <w:rsid w:val="00B71F3A"/>
    <w:rsid w:val="00B766E1"/>
    <w:rsid w:val="00B81AD4"/>
    <w:rsid w:val="00B84579"/>
    <w:rsid w:val="00B92519"/>
    <w:rsid w:val="00B9460D"/>
    <w:rsid w:val="00BA7D59"/>
    <w:rsid w:val="00BB42E7"/>
    <w:rsid w:val="00BB48F1"/>
    <w:rsid w:val="00BC01B1"/>
    <w:rsid w:val="00BD10AF"/>
    <w:rsid w:val="00BD1D4A"/>
    <w:rsid w:val="00BD2C0C"/>
    <w:rsid w:val="00BD42C3"/>
    <w:rsid w:val="00BD46E8"/>
    <w:rsid w:val="00BE7F09"/>
    <w:rsid w:val="00BF616F"/>
    <w:rsid w:val="00C01AB7"/>
    <w:rsid w:val="00C035B5"/>
    <w:rsid w:val="00C10470"/>
    <w:rsid w:val="00C117E3"/>
    <w:rsid w:val="00C121DE"/>
    <w:rsid w:val="00C20E3A"/>
    <w:rsid w:val="00C21F39"/>
    <w:rsid w:val="00C223F7"/>
    <w:rsid w:val="00C237D1"/>
    <w:rsid w:val="00C23934"/>
    <w:rsid w:val="00C31631"/>
    <w:rsid w:val="00C3516C"/>
    <w:rsid w:val="00C37A33"/>
    <w:rsid w:val="00C45A37"/>
    <w:rsid w:val="00C5070F"/>
    <w:rsid w:val="00C51A68"/>
    <w:rsid w:val="00C57A8A"/>
    <w:rsid w:val="00C61C06"/>
    <w:rsid w:val="00C61F91"/>
    <w:rsid w:val="00C62355"/>
    <w:rsid w:val="00C64AB3"/>
    <w:rsid w:val="00C716D6"/>
    <w:rsid w:val="00C73387"/>
    <w:rsid w:val="00C73D31"/>
    <w:rsid w:val="00C92917"/>
    <w:rsid w:val="00C9442E"/>
    <w:rsid w:val="00C958B1"/>
    <w:rsid w:val="00CA0819"/>
    <w:rsid w:val="00CB2511"/>
    <w:rsid w:val="00CB7C32"/>
    <w:rsid w:val="00CC53F5"/>
    <w:rsid w:val="00CD26CD"/>
    <w:rsid w:val="00CE0D69"/>
    <w:rsid w:val="00CE72A2"/>
    <w:rsid w:val="00CE78C9"/>
    <w:rsid w:val="00CF2542"/>
    <w:rsid w:val="00CF4468"/>
    <w:rsid w:val="00CF5340"/>
    <w:rsid w:val="00CF60DB"/>
    <w:rsid w:val="00D02A0F"/>
    <w:rsid w:val="00D048B6"/>
    <w:rsid w:val="00D04B26"/>
    <w:rsid w:val="00D06790"/>
    <w:rsid w:val="00D10617"/>
    <w:rsid w:val="00D206A9"/>
    <w:rsid w:val="00D2227C"/>
    <w:rsid w:val="00D31319"/>
    <w:rsid w:val="00D35D9A"/>
    <w:rsid w:val="00D422E8"/>
    <w:rsid w:val="00D47EEE"/>
    <w:rsid w:val="00D53FF5"/>
    <w:rsid w:val="00D560E8"/>
    <w:rsid w:val="00D74483"/>
    <w:rsid w:val="00D7757E"/>
    <w:rsid w:val="00D83D61"/>
    <w:rsid w:val="00D95476"/>
    <w:rsid w:val="00D96AE6"/>
    <w:rsid w:val="00D97D03"/>
    <w:rsid w:val="00DA1BE6"/>
    <w:rsid w:val="00DA36C5"/>
    <w:rsid w:val="00DA6CD4"/>
    <w:rsid w:val="00DA7411"/>
    <w:rsid w:val="00DB0BE4"/>
    <w:rsid w:val="00DB1F76"/>
    <w:rsid w:val="00DB4FF5"/>
    <w:rsid w:val="00DB5AE3"/>
    <w:rsid w:val="00DB66A1"/>
    <w:rsid w:val="00DB7207"/>
    <w:rsid w:val="00DC0BA5"/>
    <w:rsid w:val="00DC2BEF"/>
    <w:rsid w:val="00DD201A"/>
    <w:rsid w:val="00DD4CCE"/>
    <w:rsid w:val="00DE0706"/>
    <w:rsid w:val="00DE77D3"/>
    <w:rsid w:val="00DF0810"/>
    <w:rsid w:val="00DF241D"/>
    <w:rsid w:val="00DF3A83"/>
    <w:rsid w:val="00E04B45"/>
    <w:rsid w:val="00E142C6"/>
    <w:rsid w:val="00E1440F"/>
    <w:rsid w:val="00E24998"/>
    <w:rsid w:val="00E24B4D"/>
    <w:rsid w:val="00E27B5A"/>
    <w:rsid w:val="00E36771"/>
    <w:rsid w:val="00E40D5B"/>
    <w:rsid w:val="00E41B9C"/>
    <w:rsid w:val="00E441C8"/>
    <w:rsid w:val="00E44635"/>
    <w:rsid w:val="00E46AA6"/>
    <w:rsid w:val="00E475B9"/>
    <w:rsid w:val="00E538EE"/>
    <w:rsid w:val="00E53B33"/>
    <w:rsid w:val="00E55C20"/>
    <w:rsid w:val="00E56E3D"/>
    <w:rsid w:val="00E64097"/>
    <w:rsid w:val="00E75CAA"/>
    <w:rsid w:val="00E80951"/>
    <w:rsid w:val="00E9654B"/>
    <w:rsid w:val="00EA3940"/>
    <w:rsid w:val="00EA4E74"/>
    <w:rsid w:val="00EB01A9"/>
    <w:rsid w:val="00EB0360"/>
    <w:rsid w:val="00EB09CE"/>
    <w:rsid w:val="00EB505C"/>
    <w:rsid w:val="00EB78E1"/>
    <w:rsid w:val="00EC3C57"/>
    <w:rsid w:val="00EC4A5F"/>
    <w:rsid w:val="00EC4AD2"/>
    <w:rsid w:val="00EC5D62"/>
    <w:rsid w:val="00EC77C4"/>
    <w:rsid w:val="00ED09B8"/>
    <w:rsid w:val="00ED134D"/>
    <w:rsid w:val="00EE044F"/>
    <w:rsid w:val="00EE29A4"/>
    <w:rsid w:val="00EE29E8"/>
    <w:rsid w:val="00F0598D"/>
    <w:rsid w:val="00F06401"/>
    <w:rsid w:val="00F1390B"/>
    <w:rsid w:val="00F179A3"/>
    <w:rsid w:val="00F21E6C"/>
    <w:rsid w:val="00F24723"/>
    <w:rsid w:val="00F2476D"/>
    <w:rsid w:val="00F24EE0"/>
    <w:rsid w:val="00F25C2D"/>
    <w:rsid w:val="00F31523"/>
    <w:rsid w:val="00F3492F"/>
    <w:rsid w:val="00F44BA3"/>
    <w:rsid w:val="00F5018F"/>
    <w:rsid w:val="00F51A16"/>
    <w:rsid w:val="00F64A94"/>
    <w:rsid w:val="00F6740F"/>
    <w:rsid w:val="00F73C71"/>
    <w:rsid w:val="00F80118"/>
    <w:rsid w:val="00F82699"/>
    <w:rsid w:val="00F9148E"/>
    <w:rsid w:val="00F923D7"/>
    <w:rsid w:val="00FB2595"/>
    <w:rsid w:val="00FB5DC7"/>
    <w:rsid w:val="00FC3D30"/>
    <w:rsid w:val="00FC4DE7"/>
    <w:rsid w:val="00FD1A82"/>
    <w:rsid w:val="00FD413A"/>
    <w:rsid w:val="00FD5469"/>
    <w:rsid w:val="00FE0A3D"/>
    <w:rsid w:val="00FF1FE2"/>
    <w:rsid w:val="00FF23CB"/>
    <w:rsid w:val="00FF31ED"/>
    <w:rsid w:val="0197420E"/>
    <w:rsid w:val="01AFD944"/>
    <w:rsid w:val="02C32788"/>
    <w:rsid w:val="03D876FD"/>
    <w:rsid w:val="0BDFAFCE"/>
    <w:rsid w:val="0BE7CA9D"/>
    <w:rsid w:val="0F555D2B"/>
    <w:rsid w:val="0F559A7F"/>
    <w:rsid w:val="10F947CF"/>
    <w:rsid w:val="137FA892"/>
    <w:rsid w:val="13DE3DA1"/>
    <w:rsid w:val="1401018C"/>
    <w:rsid w:val="14EBA5DC"/>
    <w:rsid w:val="15F695F9"/>
    <w:rsid w:val="17013DEE"/>
    <w:rsid w:val="17AA983A"/>
    <w:rsid w:val="1BFF696F"/>
    <w:rsid w:val="1F9F40EE"/>
    <w:rsid w:val="1FDF5942"/>
    <w:rsid w:val="1FEF6210"/>
    <w:rsid w:val="29FD79E0"/>
    <w:rsid w:val="2AA3FE4B"/>
    <w:rsid w:val="2BFB5D2C"/>
    <w:rsid w:val="2DFF4C3C"/>
    <w:rsid w:val="2F7AAE8B"/>
    <w:rsid w:val="3243106C"/>
    <w:rsid w:val="32DB7F82"/>
    <w:rsid w:val="35ED2D06"/>
    <w:rsid w:val="35EF4CB5"/>
    <w:rsid w:val="36D7C43F"/>
    <w:rsid w:val="37533EB6"/>
    <w:rsid w:val="3773645D"/>
    <w:rsid w:val="37BD2A0E"/>
    <w:rsid w:val="37FB6945"/>
    <w:rsid w:val="3A7F7EA0"/>
    <w:rsid w:val="3AB633DA"/>
    <w:rsid w:val="3AF7D1F9"/>
    <w:rsid w:val="3BDF8FD2"/>
    <w:rsid w:val="3BE90846"/>
    <w:rsid w:val="3DF75C8E"/>
    <w:rsid w:val="3DFFA113"/>
    <w:rsid w:val="3EAAA229"/>
    <w:rsid w:val="3EDF3041"/>
    <w:rsid w:val="3EF412A9"/>
    <w:rsid w:val="3EFF9BAF"/>
    <w:rsid w:val="3F5F5AFF"/>
    <w:rsid w:val="3F7DF3AE"/>
    <w:rsid w:val="3FADA18C"/>
    <w:rsid w:val="3FBF55AA"/>
    <w:rsid w:val="3FC95CF2"/>
    <w:rsid w:val="3FEFD843"/>
    <w:rsid w:val="3FFA971A"/>
    <w:rsid w:val="3FFD554C"/>
    <w:rsid w:val="43CF7119"/>
    <w:rsid w:val="467BBD0E"/>
    <w:rsid w:val="4C7B6E8D"/>
    <w:rsid w:val="4D1CB77B"/>
    <w:rsid w:val="4DEFB995"/>
    <w:rsid w:val="4EF3A069"/>
    <w:rsid w:val="4F3D62BC"/>
    <w:rsid w:val="4FB78C23"/>
    <w:rsid w:val="53EE7D8F"/>
    <w:rsid w:val="54D6E02F"/>
    <w:rsid w:val="55BF8644"/>
    <w:rsid w:val="55DF07BE"/>
    <w:rsid w:val="5ADDD53E"/>
    <w:rsid w:val="5B9FEAE1"/>
    <w:rsid w:val="5BFFC0B7"/>
    <w:rsid w:val="5CEF731B"/>
    <w:rsid w:val="5DFD4F3D"/>
    <w:rsid w:val="5E3FC03A"/>
    <w:rsid w:val="5E7D5D7F"/>
    <w:rsid w:val="5EED2D7C"/>
    <w:rsid w:val="5F27D99F"/>
    <w:rsid w:val="5F4708DA"/>
    <w:rsid w:val="5FDB2F12"/>
    <w:rsid w:val="5FEC1EBE"/>
    <w:rsid w:val="5FEF51BD"/>
    <w:rsid w:val="5FF47E62"/>
    <w:rsid w:val="5FF6553A"/>
    <w:rsid w:val="5FFEC1EA"/>
    <w:rsid w:val="63FF7DB1"/>
    <w:rsid w:val="66C7CD5C"/>
    <w:rsid w:val="6773A0CD"/>
    <w:rsid w:val="69115284"/>
    <w:rsid w:val="6B642DB5"/>
    <w:rsid w:val="6B6CDBA5"/>
    <w:rsid w:val="6B7F1185"/>
    <w:rsid w:val="6BF9E75F"/>
    <w:rsid w:val="6BFB32F0"/>
    <w:rsid w:val="6C7D9D2E"/>
    <w:rsid w:val="6CBE0A1A"/>
    <w:rsid w:val="6CD767FC"/>
    <w:rsid w:val="6DF8EAA5"/>
    <w:rsid w:val="6DFF45DB"/>
    <w:rsid w:val="6EF453DA"/>
    <w:rsid w:val="6F6B327B"/>
    <w:rsid w:val="716F465F"/>
    <w:rsid w:val="71BBC874"/>
    <w:rsid w:val="71FE7C63"/>
    <w:rsid w:val="73347C89"/>
    <w:rsid w:val="73BE9B4B"/>
    <w:rsid w:val="73CA9493"/>
    <w:rsid w:val="73FF9810"/>
    <w:rsid w:val="752C8C1E"/>
    <w:rsid w:val="75A50496"/>
    <w:rsid w:val="75FF1D1F"/>
    <w:rsid w:val="7737825F"/>
    <w:rsid w:val="77B79885"/>
    <w:rsid w:val="77ECA789"/>
    <w:rsid w:val="77F97D1D"/>
    <w:rsid w:val="77FF9DA3"/>
    <w:rsid w:val="77FFC245"/>
    <w:rsid w:val="79AECDF7"/>
    <w:rsid w:val="79D75081"/>
    <w:rsid w:val="79FFDB30"/>
    <w:rsid w:val="7A7D4527"/>
    <w:rsid w:val="7B5F1737"/>
    <w:rsid w:val="7BF76837"/>
    <w:rsid w:val="7BFF3E94"/>
    <w:rsid w:val="7BFFC221"/>
    <w:rsid w:val="7C974F11"/>
    <w:rsid w:val="7CE62431"/>
    <w:rsid w:val="7CED45B8"/>
    <w:rsid w:val="7D6F1A62"/>
    <w:rsid w:val="7DBF9C39"/>
    <w:rsid w:val="7DFFF3FC"/>
    <w:rsid w:val="7DFFFE20"/>
    <w:rsid w:val="7E156E86"/>
    <w:rsid w:val="7E5EF80C"/>
    <w:rsid w:val="7E95CF23"/>
    <w:rsid w:val="7EB70A64"/>
    <w:rsid w:val="7EBDACA3"/>
    <w:rsid w:val="7EDE3402"/>
    <w:rsid w:val="7EFED8EF"/>
    <w:rsid w:val="7EFF3CEA"/>
    <w:rsid w:val="7F2F0D67"/>
    <w:rsid w:val="7F512896"/>
    <w:rsid w:val="7F5BB9E8"/>
    <w:rsid w:val="7F5DE61F"/>
    <w:rsid w:val="7F73E4AA"/>
    <w:rsid w:val="7F7B04E1"/>
    <w:rsid w:val="7F7F7609"/>
    <w:rsid w:val="7F8537E7"/>
    <w:rsid w:val="7F9BBC77"/>
    <w:rsid w:val="7FA3F6B3"/>
    <w:rsid w:val="7FAED413"/>
    <w:rsid w:val="7FBB5D87"/>
    <w:rsid w:val="7FCBA267"/>
    <w:rsid w:val="7FEFA185"/>
    <w:rsid w:val="7FF184C7"/>
    <w:rsid w:val="7FFB2D8C"/>
    <w:rsid w:val="7FFBFCAF"/>
    <w:rsid w:val="7FFDC586"/>
    <w:rsid w:val="7FFF9F70"/>
    <w:rsid w:val="9FCED453"/>
    <w:rsid w:val="A6CF8C57"/>
    <w:rsid w:val="AD9B158C"/>
    <w:rsid w:val="ADE3788D"/>
    <w:rsid w:val="ADFBFFB0"/>
    <w:rsid w:val="AF7B486F"/>
    <w:rsid w:val="B57F5A1B"/>
    <w:rsid w:val="BBBDD593"/>
    <w:rsid w:val="BBCDAE1B"/>
    <w:rsid w:val="BBFFA2AF"/>
    <w:rsid w:val="BC31FA19"/>
    <w:rsid w:val="BC65FD83"/>
    <w:rsid w:val="BCB3EEBD"/>
    <w:rsid w:val="BDF32E50"/>
    <w:rsid w:val="BEF18379"/>
    <w:rsid w:val="BFFB65ED"/>
    <w:rsid w:val="BFFD790E"/>
    <w:rsid w:val="BFFD94DA"/>
    <w:rsid w:val="BFFF6079"/>
    <w:rsid w:val="C9EF0B1C"/>
    <w:rsid w:val="CB7764AD"/>
    <w:rsid w:val="CBFE1D3A"/>
    <w:rsid w:val="CDDE81E4"/>
    <w:rsid w:val="CDEABEE4"/>
    <w:rsid w:val="CE9C18C2"/>
    <w:rsid w:val="CEFF2B58"/>
    <w:rsid w:val="CFDEABD2"/>
    <w:rsid w:val="D3DABB7C"/>
    <w:rsid w:val="D7CFDBF0"/>
    <w:rsid w:val="D7E71DB3"/>
    <w:rsid w:val="DBFF4D63"/>
    <w:rsid w:val="DD2FB551"/>
    <w:rsid w:val="DDDC2CC2"/>
    <w:rsid w:val="DDDE1DB7"/>
    <w:rsid w:val="DECF0EF0"/>
    <w:rsid w:val="DEF7C81B"/>
    <w:rsid w:val="DFDE51F0"/>
    <w:rsid w:val="DFDF3D12"/>
    <w:rsid w:val="DFEF9599"/>
    <w:rsid w:val="DFFF881B"/>
    <w:rsid w:val="E3BF8A84"/>
    <w:rsid w:val="E6DFD137"/>
    <w:rsid w:val="E6EF0F10"/>
    <w:rsid w:val="E7FF26A0"/>
    <w:rsid w:val="E81FDE3D"/>
    <w:rsid w:val="E93E53EC"/>
    <w:rsid w:val="EB5D3732"/>
    <w:rsid w:val="EDDF186A"/>
    <w:rsid w:val="EEF918D2"/>
    <w:rsid w:val="EEFCC9CD"/>
    <w:rsid w:val="EFAB0612"/>
    <w:rsid w:val="EFADFD96"/>
    <w:rsid w:val="EFBF0DA5"/>
    <w:rsid w:val="EFD7807D"/>
    <w:rsid w:val="EFE50AF6"/>
    <w:rsid w:val="EFF54274"/>
    <w:rsid w:val="EFF7DA50"/>
    <w:rsid w:val="EFFEDF13"/>
    <w:rsid w:val="EFFFD83D"/>
    <w:rsid w:val="F3770A3B"/>
    <w:rsid w:val="F3BF2A4F"/>
    <w:rsid w:val="F4BB327E"/>
    <w:rsid w:val="F4FF7FA0"/>
    <w:rsid w:val="F5FE92A9"/>
    <w:rsid w:val="F67D7F17"/>
    <w:rsid w:val="F69DB51E"/>
    <w:rsid w:val="F6FE4965"/>
    <w:rsid w:val="F75ACBEE"/>
    <w:rsid w:val="F77D62D9"/>
    <w:rsid w:val="F7EBE26E"/>
    <w:rsid w:val="F7EF751D"/>
    <w:rsid w:val="F7FD3C3F"/>
    <w:rsid w:val="F8AADB3E"/>
    <w:rsid w:val="F8DFD8BF"/>
    <w:rsid w:val="FA86BDEF"/>
    <w:rsid w:val="FB3F6BB7"/>
    <w:rsid w:val="FB7F04CE"/>
    <w:rsid w:val="FB9FD38B"/>
    <w:rsid w:val="FBB72D6E"/>
    <w:rsid w:val="FBBD353C"/>
    <w:rsid w:val="FBBFD0C3"/>
    <w:rsid w:val="FBDF6BF2"/>
    <w:rsid w:val="FD6FB5E5"/>
    <w:rsid w:val="FDB33F21"/>
    <w:rsid w:val="FDD9E230"/>
    <w:rsid w:val="FDEE04E6"/>
    <w:rsid w:val="FE7B09F5"/>
    <w:rsid w:val="FE9D3050"/>
    <w:rsid w:val="FEDEF1F4"/>
    <w:rsid w:val="FEFF40AC"/>
    <w:rsid w:val="FF73C7A6"/>
    <w:rsid w:val="FF999A42"/>
    <w:rsid w:val="FFA763C8"/>
    <w:rsid w:val="FFA9E019"/>
    <w:rsid w:val="FFCF6095"/>
    <w:rsid w:val="FFD6A534"/>
    <w:rsid w:val="FFD79E8E"/>
    <w:rsid w:val="FFE20A8D"/>
    <w:rsid w:val="FFE322B9"/>
    <w:rsid w:val="FFE7713D"/>
    <w:rsid w:val="FFEEA086"/>
    <w:rsid w:val="FFEF6C73"/>
    <w:rsid w:val="FFEF93D6"/>
    <w:rsid w:val="FFF79863"/>
    <w:rsid w:val="FFF7E461"/>
    <w:rsid w:val="FFFBF6C7"/>
    <w:rsid w:val="FFFD913F"/>
    <w:rsid w:val="FFFE5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nhideWhenUsed="0" w:uiPriority="0" w:semiHidden="0" w:name="toa heading"/>
    <w:lsdException w:uiPriority="99" w:name="List"/>
    <w:lsdException w:qFormat="1" w:unhideWhenUsed="0" w:uiPriority="0" w:semiHidden="0" w:name="List Bullet"/>
    <w:lsdException w:unhideWhenUsed="0" w:uiPriority="0" w:semiHidden="0" w:name="List Number"/>
    <w:lsdException w:uiPriority="99" w:name="List 2"/>
    <w:lsdException w:uiPriority="99" w:name="List 3"/>
    <w:lsdException w:uiPriority="99" w:name="List 4"/>
    <w:lsdException w:uiPriority="99"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iPriority="99" w:name="Closing"/>
    <w:lsdException w:uiPriority="99" w:name="Signature"/>
    <w:lsdException w:qFormat="1"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lang w:val="zh-CN"/>
    </w:rPr>
  </w:style>
  <w:style w:type="paragraph" w:styleId="3">
    <w:name w:val="heading 2"/>
    <w:basedOn w:val="1"/>
    <w:next w:val="1"/>
    <w:link w:val="35"/>
    <w:qFormat/>
    <w:uiPriority w:val="0"/>
    <w:pPr>
      <w:keepNext/>
      <w:keepLines/>
      <w:numPr>
        <w:ilvl w:val="1"/>
        <w:numId w:val="1"/>
      </w:numPr>
      <w:spacing w:before="260" w:after="260" w:line="416" w:lineRule="auto"/>
      <w:outlineLvl w:val="1"/>
    </w:pPr>
    <w:rPr>
      <w:rFonts w:ascii="Cambria" w:hAnsi="Cambria"/>
      <w:b/>
      <w:bCs/>
      <w:kern w:val="0"/>
      <w:sz w:val="32"/>
      <w:szCs w:val="32"/>
      <w:lang w:val="zh-CN"/>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lang w:val="zh-CN"/>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30"/>
    <w:qFormat/>
    <w:uiPriority w:val="0"/>
    <w:pPr>
      <w:keepNext/>
      <w:keepLines/>
      <w:numPr>
        <w:ilvl w:val="4"/>
        <w:numId w:val="1"/>
      </w:numPr>
      <w:spacing w:before="280" w:after="290" w:line="376" w:lineRule="auto"/>
      <w:outlineLvl w:val="4"/>
    </w:pPr>
    <w:rPr>
      <w:b/>
      <w:bCs/>
      <w:sz w:val="28"/>
      <w:szCs w:val="28"/>
      <w:lang w:val="zh-CN"/>
    </w:rPr>
  </w:style>
  <w:style w:type="paragraph" w:styleId="7">
    <w:name w:val="heading 6"/>
    <w:basedOn w:val="1"/>
    <w:next w:val="1"/>
    <w:link w:val="31"/>
    <w:qFormat/>
    <w:uiPriority w:val="0"/>
    <w:pPr>
      <w:keepNext/>
      <w:keepLines/>
      <w:numPr>
        <w:ilvl w:val="5"/>
        <w:numId w:val="1"/>
      </w:numPr>
      <w:spacing w:before="240" w:after="64" w:line="320" w:lineRule="auto"/>
      <w:outlineLvl w:val="5"/>
    </w:pPr>
    <w:rPr>
      <w:rFonts w:ascii="Arial" w:hAnsi="Arial" w:eastAsia="黑体"/>
      <w:b/>
      <w:bCs/>
      <w:sz w:val="24"/>
      <w:lang w:val="zh-CN"/>
    </w:rPr>
  </w:style>
  <w:style w:type="paragraph" w:styleId="8">
    <w:name w:val="heading 7"/>
    <w:basedOn w:val="1"/>
    <w:next w:val="1"/>
    <w:link w:val="32"/>
    <w:qFormat/>
    <w:uiPriority w:val="0"/>
    <w:pPr>
      <w:keepNext/>
      <w:keepLines/>
      <w:numPr>
        <w:ilvl w:val="6"/>
        <w:numId w:val="1"/>
      </w:numPr>
      <w:spacing w:before="240" w:after="64" w:line="320" w:lineRule="auto"/>
      <w:outlineLvl w:val="6"/>
    </w:pPr>
    <w:rPr>
      <w:b/>
      <w:bCs/>
      <w:sz w:val="24"/>
      <w:lang w:val="zh-CN"/>
    </w:rPr>
  </w:style>
  <w:style w:type="paragraph" w:styleId="9">
    <w:name w:val="heading 8"/>
    <w:basedOn w:val="1"/>
    <w:next w:val="1"/>
    <w:link w:val="33"/>
    <w:qFormat/>
    <w:uiPriority w:val="0"/>
    <w:pPr>
      <w:keepNext/>
      <w:keepLines/>
      <w:numPr>
        <w:ilvl w:val="7"/>
        <w:numId w:val="1"/>
      </w:numPr>
      <w:spacing w:before="240" w:after="64" w:line="320" w:lineRule="auto"/>
      <w:outlineLvl w:val="7"/>
    </w:pPr>
    <w:rPr>
      <w:rFonts w:ascii="Arial" w:hAnsi="Arial" w:eastAsia="黑体"/>
      <w:sz w:val="24"/>
      <w:lang w:val="zh-CN"/>
    </w:rPr>
  </w:style>
  <w:style w:type="paragraph" w:styleId="10">
    <w:name w:val="heading 9"/>
    <w:basedOn w:val="1"/>
    <w:next w:val="1"/>
    <w:link w:val="34"/>
    <w:qFormat/>
    <w:uiPriority w:val="0"/>
    <w:pPr>
      <w:keepNext/>
      <w:keepLines/>
      <w:numPr>
        <w:ilvl w:val="8"/>
        <w:numId w:val="1"/>
      </w:numPr>
      <w:spacing w:before="240" w:after="64" w:line="320" w:lineRule="auto"/>
      <w:outlineLvl w:val="8"/>
    </w:pPr>
    <w:rPr>
      <w:rFonts w:ascii="Arial" w:hAnsi="Arial" w:eastAsia="黑体"/>
      <w:sz w:val="24"/>
      <w:szCs w:val="21"/>
      <w:lang w:val="zh-CN"/>
    </w:rPr>
  </w:style>
  <w:style w:type="character" w:default="1" w:styleId="24">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List Bullet"/>
    <w:basedOn w:val="1"/>
    <w:qFormat/>
    <w:uiPriority w:val="0"/>
    <w:pPr>
      <w:widowControl/>
      <w:numPr>
        <w:ilvl w:val="0"/>
        <w:numId w:val="2"/>
      </w:numPr>
      <w:spacing w:after="60"/>
      <w:ind w:firstLine="0" w:firstLineChars="0"/>
    </w:pPr>
    <w:rPr>
      <w:rFonts w:ascii="Arial" w:hAnsi="Arial"/>
      <w:kern w:val="0"/>
      <w:sz w:val="20"/>
      <w:szCs w:val="20"/>
    </w:rPr>
  </w:style>
  <w:style w:type="paragraph" w:styleId="12">
    <w:name w:val="annotation text"/>
    <w:basedOn w:val="1"/>
    <w:qFormat/>
    <w:uiPriority w:val="0"/>
    <w:pPr>
      <w:spacing w:line="360" w:lineRule="auto"/>
      <w:jc w:val="left"/>
    </w:pPr>
    <w:rPr>
      <w:rFonts w:ascii="宋体" w:hAnsi="宋体"/>
      <w:kern w:val="0"/>
      <w:sz w:val="24"/>
      <w:lang w:val="zh-CN"/>
    </w:rPr>
  </w:style>
  <w:style w:type="paragraph" w:styleId="13">
    <w:name w:val="Balloon Text"/>
    <w:basedOn w:val="1"/>
    <w:link w:val="68"/>
    <w:qFormat/>
    <w:uiPriority w:val="0"/>
    <w:rPr>
      <w:sz w:val="18"/>
      <w:szCs w:val="18"/>
    </w:rPr>
  </w:style>
  <w:style w:type="paragraph" w:styleId="14">
    <w:name w:val="footer"/>
    <w:basedOn w:val="1"/>
    <w:link w:val="71"/>
    <w:qFormat/>
    <w:uiPriority w:val="99"/>
    <w:pPr>
      <w:tabs>
        <w:tab w:val="center" w:pos="4153"/>
        <w:tab w:val="right" w:pos="8306"/>
      </w:tabs>
      <w:snapToGrid w:val="0"/>
      <w:jc w:val="left"/>
    </w:pPr>
    <w:rPr>
      <w:rFonts w:ascii="Calibri" w:hAnsi="Calibri"/>
      <w:kern w:val="0"/>
      <w:sz w:val="18"/>
      <w:szCs w:val="18"/>
      <w:lang w:val="zh-CN"/>
    </w:rPr>
  </w:style>
  <w:style w:type="paragraph" w:styleId="15">
    <w:name w:val="header"/>
    <w:basedOn w:val="1"/>
    <w:link w:val="70"/>
    <w:qFormat/>
    <w:uiPriority w:val="0"/>
    <w:pPr>
      <w:pBdr>
        <w:bottom w:val="single" w:color="auto" w:sz="6" w:space="1"/>
      </w:pBdr>
      <w:tabs>
        <w:tab w:val="center" w:pos="4153"/>
        <w:tab w:val="right" w:pos="8306"/>
      </w:tabs>
      <w:snapToGrid w:val="0"/>
      <w:jc w:val="center"/>
    </w:pPr>
    <w:rPr>
      <w:rFonts w:ascii="Calibri" w:hAnsi="Calibri"/>
      <w:kern w:val="0"/>
      <w:sz w:val="18"/>
      <w:szCs w:val="18"/>
      <w:lang w:val="zh-CN"/>
    </w:rPr>
  </w:style>
  <w:style w:type="paragraph" w:styleId="16">
    <w:name w:val="toc 1"/>
    <w:basedOn w:val="1"/>
    <w:next w:val="1"/>
    <w:qFormat/>
    <w:uiPriority w:val="39"/>
    <w:pPr>
      <w:spacing w:before="120" w:after="120"/>
      <w:jc w:val="left"/>
    </w:pPr>
    <w:rPr>
      <w:rFonts w:ascii="Calibri" w:hAnsi="Calibri" w:cs="Calibri"/>
      <w:b/>
      <w:bCs/>
      <w:caps/>
      <w:sz w:val="20"/>
      <w:szCs w:val="20"/>
    </w:rPr>
  </w:style>
  <w:style w:type="paragraph" w:styleId="17">
    <w:name w:val="Subtitle"/>
    <w:basedOn w:val="1"/>
    <w:next w:val="1"/>
    <w:link w:val="37"/>
    <w:qFormat/>
    <w:uiPriority w:val="11"/>
    <w:pPr>
      <w:spacing w:before="240" w:after="60" w:line="312" w:lineRule="auto"/>
      <w:jc w:val="center"/>
      <w:outlineLvl w:val="1"/>
    </w:pPr>
    <w:rPr>
      <w:rFonts w:ascii="Cambria" w:hAnsi="Cambria"/>
      <w:b/>
      <w:bCs/>
      <w:kern w:val="28"/>
      <w:sz w:val="32"/>
      <w:szCs w:val="32"/>
    </w:rPr>
  </w:style>
  <w:style w:type="paragraph" w:styleId="18">
    <w:name w:val="toc 2"/>
    <w:basedOn w:val="1"/>
    <w:next w:val="1"/>
    <w:qFormat/>
    <w:uiPriority w:val="39"/>
    <w:pPr>
      <w:ind w:left="210"/>
      <w:jc w:val="left"/>
    </w:pPr>
    <w:rPr>
      <w:rFonts w:ascii="Calibri" w:hAnsi="Calibri" w:cs="Calibri"/>
      <w:smallCaps/>
      <w:sz w:val="20"/>
      <w:szCs w:val="20"/>
    </w:rPr>
  </w:style>
  <w:style w:type="paragraph" w:styleId="19">
    <w:name w:val="Title"/>
    <w:basedOn w:val="1"/>
    <w:link w:val="36"/>
    <w:qFormat/>
    <w:uiPriority w:val="0"/>
    <w:pPr>
      <w:tabs>
        <w:tab w:val="left" w:pos="900"/>
      </w:tabs>
      <w:adjustRightInd w:val="0"/>
      <w:spacing w:before="240" w:after="60" w:line="312" w:lineRule="atLeast"/>
      <w:ind w:left="900" w:hanging="420"/>
      <w:jc w:val="center"/>
      <w:textAlignment w:val="baseline"/>
      <w:outlineLvl w:val="0"/>
    </w:pPr>
    <w:rPr>
      <w:rFonts w:ascii="Arial" w:hAnsi="Arial"/>
      <w:b/>
      <w:bCs/>
      <w:kern w:val="0"/>
      <w:sz w:val="32"/>
      <w:szCs w:val="32"/>
      <w:lang w:val="zh-CN"/>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2">
    <w:name w:val="Table Theme"/>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3">
    <w:name w:val="Table Professional"/>
    <w:basedOn w:val="20"/>
    <w:qFormat/>
    <w:uiPriority w:val="0"/>
    <w:pPr>
      <w:widowControl w:val="0"/>
      <w:adjustRightInd w:val="0"/>
      <w:snapToGrid w:val="0"/>
      <w:spacing w:before="100" w:beforeAutospacing="1" w:after="100" w:afterAutospacing="1"/>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25">
    <w:name w:val="Hyperlink"/>
    <w:basedOn w:val="24"/>
    <w:qFormat/>
    <w:uiPriority w:val="99"/>
    <w:rPr>
      <w:color w:val="0563C1" w:themeColor="hyperlink"/>
      <w:u w:val="single"/>
      <w14:textFill>
        <w14:solidFill>
          <w14:schemeClr w14:val="hlink"/>
        </w14:solidFill>
      </w14:textFill>
    </w:rPr>
  </w:style>
  <w:style w:type="character" w:styleId="26">
    <w:name w:val="annotation reference"/>
    <w:basedOn w:val="24"/>
    <w:qFormat/>
    <w:uiPriority w:val="0"/>
    <w:rPr>
      <w:sz w:val="21"/>
      <w:szCs w:val="21"/>
    </w:rPr>
  </w:style>
  <w:style w:type="character" w:customStyle="1" w:styleId="27">
    <w:name w:val="标题 1 字符"/>
    <w:link w:val="2"/>
    <w:qFormat/>
    <w:uiPriority w:val="0"/>
    <w:rPr>
      <w:rFonts w:ascii="Times New Roman" w:hAnsi="Times New Roman" w:eastAsia="宋体" w:cs="Times New Roman"/>
      <w:b/>
      <w:bCs/>
      <w:kern w:val="44"/>
      <w:sz w:val="44"/>
      <w:szCs w:val="44"/>
    </w:rPr>
  </w:style>
  <w:style w:type="character" w:customStyle="1" w:styleId="28">
    <w:name w:val="标题 3 字符"/>
    <w:link w:val="4"/>
    <w:qFormat/>
    <w:uiPriority w:val="0"/>
    <w:rPr>
      <w:rFonts w:ascii="Times New Roman" w:hAnsi="Times New Roman"/>
      <w:b/>
      <w:bCs/>
      <w:kern w:val="2"/>
      <w:sz w:val="32"/>
      <w:szCs w:val="32"/>
      <w:lang w:val="zh-CN" w:eastAsia="zh-CN"/>
    </w:rPr>
  </w:style>
  <w:style w:type="character" w:customStyle="1" w:styleId="29">
    <w:name w:val="标题 4 字符"/>
    <w:link w:val="5"/>
    <w:qFormat/>
    <w:uiPriority w:val="0"/>
    <w:rPr>
      <w:rFonts w:ascii="Arial" w:hAnsi="Arial" w:eastAsia="黑体"/>
      <w:b/>
      <w:bCs/>
      <w:kern w:val="2"/>
      <w:sz w:val="28"/>
      <w:szCs w:val="28"/>
      <w:lang w:val="zh-CN" w:eastAsia="zh-CN"/>
    </w:rPr>
  </w:style>
  <w:style w:type="character" w:customStyle="1" w:styleId="30">
    <w:name w:val="标题 5 字符"/>
    <w:link w:val="6"/>
    <w:qFormat/>
    <w:uiPriority w:val="0"/>
    <w:rPr>
      <w:rFonts w:ascii="Times New Roman" w:hAnsi="Times New Roman"/>
      <w:b/>
      <w:bCs/>
      <w:kern w:val="2"/>
      <w:sz w:val="28"/>
      <w:szCs w:val="28"/>
      <w:lang w:val="zh-CN" w:eastAsia="zh-CN"/>
    </w:rPr>
  </w:style>
  <w:style w:type="character" w:customStyle="1" w:styleId="31">
    <w:name w:val="标题 6 字符"/>
    <w:link w:val="7"/>
    <w:qFormat/>
    <w:uiPriority w:val="0"/>
    <w:rPr>
      <w:rFonts w:ascii="Arial" w:hAnsi="Arial" w:eastAsia="黑体"/>
      <w:b/>
      <w:bCs/>
      <w:kern w:val="2"/>
      <w:sz w:val="24"/>
      <w:szCs w:val="24"/>
      <w:lang w:val="zh-CN" w:eastAsia="zh-CN"/>
    </w:rPr>
  </w:style>
  <w:style w:type="character" w:customStyle="1" w:styleId="32">
    <w:name w:val="标题 7 字符"/>
    <w:link w:val="8"/>
    <w:qFormat/>
    <w:uiPriority w:val="0"/>
    <w:rPr>
      <w:rFonts w:ascii="Times New Roman" w:hAnsi="Times New Roman"/>
      <w:b/>
      <w:bCs/>
      <w:kern w:val="2"/>
      <w:sz w:val="24"/>
      <w:szCs w:val="24"/>
      <w:lang w:val="zh-CN" w:eastAsia="zh-CN"/>
    </w:rPr>
  </w:style>
  <w:style w:type="character" w:customStyle="1" w:styleId="33">
    <w:name w:val="标题 8 字符"/>
    <w:link w:val="9"/>
    <w:qFormat/>
    <w:uiPriority w:val="0"/>
    <w:rPr>
      <w:rFonts w:ascii="Arial" w:hAnsi="Arial" w:eastAsia="黑体"/>
      <w:kern w:val="2"/>
      <w:sz w:val="24"/>
      <w:szCs w:val="24"/>
      <w:lang w:val="zh-CN" w:eastAsia="zh-CN"/>
    </w:rPr>
  </w:style>
  <w:style w:type="character" w:customStyle="1" w:styleId="34">
    <w:name w:val="标题 9 字符"/>
    <w:link w:val="10"/>
    <w:qFormat/>
    <w:uiPriority w:val="0"/>
    <w:rPr>
      <w:rFonts w:ascii="Arial" w:hAnsi="Arial" w:eastAsia="黑体"/>
      <w:kern w:val="2"/>
      <w:sz w:val="24"/>
      <w:szCs w:val="21"/>
      <w:lang w:val="zh-CN" w:eastAsia="zh-CN"/>
    </w:rPr>
  </w:style>
  <w:style w:type="character" w:customStyle="1" w:styleId="35">
    <w:name w:val="标题 2 字符"/>
    <w:link w:val="3"/>
    <w:qFormat/>
    <w:uiPriority w:val="0"/>
    <w:rPr>
      <w:rFonts w:ascii="Cambria" w:hAnsi="Cambria"/>
      <w:b/>
      <w:bCs/>
      <w:sz w:val="32"/>
      <w:szCs w:val="32"/>
      <w:lang w:val="zh-CN" w:eastAsia="zh-CN"/>
    </w:rPr>
  </w:style>
  <w:style w:type="character" w:customStyle="1" w:styleId="36">
    <w:name w:val="标题 字符"/>
    <w:link w:val="19"/>
    <w:qFormat/>
    <w:uiPriority w:val="10"/>
    <w:rPr>
      <w:rFonts w:ascii="Arial" w:hAnsi="Arial" w:cs="Arial"/>
      <w:b/>
      <w:bCs/>
      <w:sz w:val="32"/>
      <w:szCs w:val="32"/>
    </w:rPr>
  </w:style>
  <w:style w:type="character" w:customStyle="1" w:styleId="37">
    <w:name w:val="副标题 字符"/>
    <w:link w:val="17"/>
    <w:qFormat/>
    <w:uiPriority w:val="11"/>
    <w:rPr>
      <w:rFonts w:ascii="Cambria" w:hAnsi="Cambria"/>
      <w:b/>
      <w:bCs/>
      <w:kern w:val="28"/>
      <w:sz w:val="32"/>
      <w:szCs w:val="32"/>
    </w:rPr>
  </w:style>
  <w:style w:type="table" w:customStyle="1" w:styleId="38">
    <w:name w:val="浅色列表 - 强调文字颜色 31"/>
    <w:basedOn w:val="20"/>
    <w:qFormat/>
    <w:uiPriority w:val="61"/>
    <w:rPr>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paragraph" w:customStyle="1" w:styleId="39">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40">
    <w:name w:val="1级标题"/>
    <w:basedOn w:val="2"/>
    <w:link w:val="42"/>
    <w:qFormat/>
    <w:uiPriority w:val="0"/>
    <w:pPr>
      <w:numPr>
        <w:ilvl w:val="0"/>
        <w:numId w:val="3"/>
      </w:numPr>
      <w:spacing w:before="120" w:after="120" w:line="360" w:lineRule="auto"/>
      <w:ind w:right="27" w:rightChars="13"/>
      <w:jc w:val="center"/>
    </w:pPr>
  </w:style>
  <w:style w:type="paragraph" w:customStyle="1" w:styleId="41">
    <w:name w:val="1 级标题"/>
    <w:basedOn w:val="40"/>
    <w:link w:val="44"/>
    <w:qFormat/>
    <w:uiPriority w:val="0"/>
  </w:style>
  <w:style w:type="character" w:customStyle="1" w:styleId="42">
    <w:name w:val="1级标题 Char"/>
    <w:link w:val="40"/>
    <w:qFormat/>
    <w:uiPriority w:val="0"/>
    <w:rPr>
      <w:rFonts w:ascii="Times New Roman" w:hAnsi="Times New Roman"/>
      <w:b/>
      <w:bCs/>
      <w:kern w:val="44"/>
      <w:sz w:val="44"/>
      <w:szCs w:val="44"/>
      <w:lang w:val="zh-CN"/>
    </w:rPr>
  </w:style>
  <w:style w:type="paragraph" w:customStyle="1" w:styleId="43">
    <w:name w:val="2 级标题"/>
    <w:basedOn w:val="3"/>
    <w:link w:val="46"/>
    <w:qFormat/>
    <w:uiPriority w:val="0"/>
    <w:pPr>
      <w:numPr>
        <w:numId w:val="4"/>
      </w:numPr>
      <w:tabs>
        <w:tab w:val="left" w:pos="420"/>
      </w:tabs>
      <w:spacing w:before="120" w:after="120" w:line="360" w:lineRule="auto"/>
      <w:jc w:val="center"/>
    </w:pPr>
  </w:style>
  <w:style w:type="character" w:customStyle="1" w:styleId="44">
    <w:name w:val="1 级标题 Char"/>
    <w:basedOn w:val="42"/>
    <w:link w:val="41"/>
    <w:qFormat/>
    <w:uiPriority w:val="0"/>
    <w:rPr>
      <w:rFonts w:ascii="Times New Roman" w:hAnsi="Times New Roman"/>
      <w:kern w:val="44"/>
      <w:sz w:val="44"/>
      <w:szCs w:val="44"/>
      <w:lang w:val="zh-CN"/>
    </w:rPr>
  </w:style>
  <w:style w:type="paragraph" w:customStyle="1" w:styleId="45">
    <w:name w:val="3 级标题"/>
    <w:basedOn w:val="4"/>
    <w:link w:val="48"/>
    <w:qFormat/>
    <w:uiPriority w:val="0"/>
    <w:pPr>
      <w:numPr>
        <w:numId w:val="4"/>
      </w:numPr>
      <w:tabs>
        <w:tab w:val="left" w:pos="420"/>
      </w:tabs>
      <w:spacing w:before="120" w:after="120" w:line="360" w:lineRule="auto"/>
      <w:ind w:right="27" w:rightChars="13"/>
      <w:jc w:val="left"/>
    </w:pPr>
    <w:rPr>
      <w:sz w:val="28"/>
    </w:rPr>
  </w:style>
  <w:style w:type="character" w:customStyle="1" w:styleId="46">
    <w:name w:val="2 级标题 Char"/>
    <w:link w:val="43"/>
    <w:qFormat/>
    <w:uiPriority w:val="0"/>
    <w:rPr>
      <w:rFonts w:ascii="Cambria" w:hAnsi="Cambria" w:eastAsia="宋体"/>
      <w:b/>
      <w:bCs/>
      <w:sz w:val="32"/>
      <w:szCs w:val="32"/>
      <w:lang w:val="zh-CN"/>
    </w:rPr>
  </w:style>
  <w:style w:type="paragraph" w:customStyle="1" w:styleId="47">
    <w:name w:val="4 级标题"/>
    <w:basedOn w:val="5"/>
    <w:link w:val="50"/>
    <w:qFormat/>
    <w:uiPriority w:val="0"/>
    <w:pPr>
      <w:numPr>
        <w:numId w:val="3"/>
      </w:numPr>
      <w:spacing w:before="120" w:after="120" w:line="360" w:lineRule="auto"/>
      <w:ind w:right="27" w:rightChars="13"/>
      <w:jc w:val="left"/>
    </w:pPr>
    <w:rPr>
      <w:rFonts w:eastAsia="宋体"/>
      <w:sz w:val="24"/>
    </w:rPr>
  </w:style>
  <w:style w:type="character" w:customStyle="1" w:styleId="48">
    <w:name w:val="3 级标题 Char"/>
    <w:link w:val="45"/>
    <w:qFormat/>
    <w:uiPriority w:val="0"/>
    <w:rPr>
      <w:rFonts w:ascii="Times New Roman" w:hAnsi="Times New Roman" w:eastAsia="宋体"/>
      <w:b/>
      <w:bCs/>
      <w:kern w:val="2"/>
      <w:sz w:val="28"/>
      <w:szCs w:val="32"/>
      <w:lang w:val="zh-CN"/>
    </w:rPr>
  </w:style>
  <w:style w:type="paragraph" w:customStyle="1" w:styleId="49">
    <w:name w:val="5 级标题"/>
    <w:basedOn w:val="6"/>
    <w:link w:val="52"/>
    <w:qFormat/>
    <w:uiPriority w:val="0"/>
    <w:pPr>
      <w:numPr>
        <w:numId w:val="3"/>
      </w:numPr>
      <w:spacing w:before="120" w:after="120" w:line="360" w:lineRule="auto"/>
      <w:ind w:right="27" w:rightChars="13"/>
      <w:jc w:val="left"/>
    </w:pPr>
    <w:rPr>
      <w:sz w:val="24"/>
    </w:rPr>
  </w:style>
  <w:style w:type="character" w:customStyle="1" w:styleId="50">
    <w:name w:val="4 级标题 Char"/>
    <w:link w:val="47"/>
    <w:qFormat/>
    <w:uiPriority w:val="0"/>
    <w:rPr>
      <w:rFonts w:ascii="Arial" w:hAnsi="Arial"/>
      <w:b/>
      <w:bCs/>
      <w:kern w:val="2"/>
      <w:sz w:val="24"/>
      <w:szCs w:val="28"/>
      <w:lang w:val="zh-CN"/>
    </w:rPr>
  </w:style>
  <w:style w:type="paragraph" w:customStyle="1" w:styleId="51">
    <w:name w:val="6 级标题"/>
    <w:basedOn w:val="7"/>
    <w:link w:val="54"/>
    <w:qFormat/>
    <w:uiPriority w:val="0"/>
    <w:pPr>
      <w:numPr>
        <w:numId w:val="3"/>
      </w:numPr>
      <w:spacing w:before="120" w:after="120" w:line="360" w:lineRule="auto"/>
      <w:ind w:right="27" w:rightChars="13"/>
      <w:jc w:val="left"/>
    </w:pPr>
    <w:rPr>
      <w:rFonts w:eastAsia="宋体"/>
    </w:rPr>
  </w:style>
  <w:style w:type="character" w:customStyle="1" w:styleId="52">
    <w:name w:val="5 级标题 Char"/>
    <w:link w:val="49"/>
    <w:qFormat/>
    <w:uiPriority w:val="0"/>
    <w:rPr>
      <w:rFonts w:ascii="Times New Roman" w:hAnsi="Times New Roman"/>
      <w:b/>
      <w:bCs/>
      <w:kern w:val="2"/>
      <w:sz w:val="24"/>
      <w:szCs w:val="28"/>
      <w:lang w:val="zh-CN"/>
    </w:rPr>
  </w:style>
  <w:style w:type="paragraph" w:customStyle="1" w:styleId="53">
    <w:name w:val="7 级标题"/>
    <w:basedOn w:val="8"/>
    <w:link w:val="56"/>
    <w:qFormat/>
    <w:uiPriority w:val="0"/>
    <w:pPr>
      <w:numPr>
        <w:numId w:val="3"/>
      </w:numPr>
      <w:spacing w:before="120" w:after="120" w:line="360" w:lineRule="auto"/>
      <w:ind w:right="27" w:rightChars="13"/>
      <w:jc w:val="left"/>
    </w:pPr>
  </w:style>
  <w:style w:type="character" w:customStyle="1" w:styleId="54">
    <w:name w:val="6 级标题 Char"/>
    <w:link w:val="51"/>
    <w:qFormat/>
    <w:uiPriority w:val="0"/>
    <w:rPr>
      <w:rFonts w:ascii="Arial" w:hAnsi="Arial"/>
      <w:b/>
      <w:bCs/>
      <w:kern w:val="2"/>
      <w:sz w:val="24"/>
      <w:szCs w:val="24"/>
      <w:lang w:val="zh-CN"/>
    </w:rPr>
  </w:style>
  <w:style w:type="paragraph" w:customStyle="1" w:styleId="55">
    <w:name w:val="8 级标题"/>
    <w:basedOn w:val="9"/>
    <w:link w:val="58"/>
    <w:qFormat/>
    <w:uiPriority w:val="0"/>
    <w:pPr>
      <w:numPr>
        <w:numId w:val="3"/>
      </w:numPr>
      <w:spacing w:before="120" w:after="120" w:line="360" w:lineRule="auto"/>
      <w:ind w:right="27" w:rightChars="13"/>
      <w:jc w:val="left"/>
    </w:pPr>
    <w:rPr>
      <w:rFonts w:eastAsia="宋体"/>
      <w:b/>
    </w:rPr>
  </w:style>
  <w:style w:type="character" w:customStyle="1" w:styleId="56">
    <w:name w:val="7 级标题 Char"/>
    <w:link w:val="53"/>
    <w:qFormat/>
    <w:uiPriority w:val="0"/>
    <w:rPr>
      <w:rFonts w:ascii="Times New Roman" w:hAnsi="Times New Roman"/>
      <w:b/>
      <w:bCs/>
      <w:kern w:val="2"/>
      <w:sz w:val="24"/>
      <w:szCs w:val="24"/>
      <w:lang w:val="zh-CN"/>
    </w:rPr>
  </w:style>
  <w:style w:type="paragraph" w:customStyle="1" w:styleId="57">
    <w:name w:val="9 级标题"/>
    <w:basedOn w:val="10"/>
    <w:link w:val="60"/>
    <w:qFormat/>
    <w:uiPriority w:val="0"/>
    <w:pPr>
      <w:numPr>
        <w:numId w:val="3"/>
      </w:numPr>
      <w:spacing w:before="120" w:after="120" w:line="360" w:lineRule="auto"/>
      <w:ind w:right="27" w:rightChars="13"/>
      <w:jc w:val="left"/>
    </w:pPr>
    <w:rPr>
      <w:rFonts w:eastAsia="宋体"/>
      <w:b/>
    </w:rPr>
  </w:style>
  <w:style w:type="character" w:customStyle="1" w:styleId="58">
    <w:name w:val="8 级标题 Char"/>
    <w:link w:val="55"/>
    <w:qFormat/>
    <w:uiPriority w:val="0"/>
    <w:rPr>
      <w:rFonts w:ascii="Arial" w:hAnsi="Arial"/>
      <w:b/>
      <w:kern w:val="2"/>
      <w:sz w:val="24"/>
      <w:szCs w:val="24"/>
      <w:lang w:val="zh-CN"/>
    </w:rPr>
  </w:style>
  <w:style w:type="paragraph" w:customStyle="1" w:styleId="59">
    <w:name w:val="正文内容"/>
    <w:basedOn w:val="1"/>
    <w:link w:val="62"/>
    <w:qFormat/>
    <w:uiPriority w:val="0"/>
    <w:pPr>
      <w:spacing w:line="360" w:lineRule="auto"/>
      <w:ind w:firstLine="601" w:firstLineChars="200"/>
    </w:pPr>
    <w:rPr>
      <w:rFonts w:eastAsia="仿宋_GB2312"/>
      <w:sz w:val="24"/>
      <w:lang w:val="zh-CN"/>
    </w:rPr>
  </w:style>
  <w:style w:type="character" w:customStyle="1" w:styleId="60">
    <w:name w:val="9 级标题 Char"/>
    <w:link w:val="57"/>
    <w:qFormat/>
    <w:uiPriority w:val="0"/>
    <w:rPr>
      <w:rFonts w:ascii="Arial" w:hAnsi="Arial"/>
      <w:b/>
      <w:kern w:val="2"/>
      <w:sz w:val="24"/>
      <w:szCs w:val="21"/>
      <w:lang w:val="zh-CN"/>
    </w:rPr>
  </w:style>
  <w:style w:type="paragraph" w:customStyle="1" w:styleId="61">
    <w:name w:val="一级标题"/>
    <w:basedOn w:val="1"/>
    <w:link w:val="63"/>
    <w:qFormat/>
    <w:uiPriority w:val="0"/>
    <w:pPr>
      <w:numPr>
        <w:ilvl w:val="0"/>
        <w:numId w:val="5"/>
      </w:numPr>
      <w:spacing w:line="360" w:lineRule="auto"/>
      <w:jc w:val="center"/>
      <w:outlineLvl w:val="0"/>
    </w:pPr>
    <w:rPr>
      <w:b/>
      <w:sz w:val="36"/>
    </w:rPr>
  </w:style>
  <w:style w:type="character" w:customStyle="1" w:styleId="62">
    <w:name w:val="正文内容 Char"/>
    <w:link w:val="59"/>
    <w:qFormat/>
    <w:uiPriority w:val="0"/>
    <w:rPr>
      <w:rFonts w:ascii="Times New Roman" w:hAnsi="Times New Roman" w:eastAsia="仿宋_GB2312"/>
      <w:kern w:val="2"/>
      <w:sz w:val="24"/>
      <w:szCs w:val="24"/>
      <w:lang w:val="zh-CN"/>
    </w:rPr>
  </w:style>
  <w:style w:type="character" w:customStyle="1" w:styleId="63">
    <w:name w:val="一级标题 Char"/>
    <w:link w:val="61"/>
    <w:qFormat/>
    <w:uiPriority w:val="0"/>
    <w:rPr>
      <w:rFonts w:ascii="Times New Roman" w:hAnsi="Times New Roman" w:eastAsia="宋体"/>
      <w:b/>
      <w:kern w:val="2"/>
      <w:sz w:val="36"/>
      <w:szCs w:val="22"/>
    </w:rPr>
  </w:style>
  <w:style w:type="paragraph" w:customStyle="1" w:styleId="64">
    <w:name w:val="二级标题"/>
    <w:basedOn w:val="61"/>
    <w:next w:val="59"/>
    <w:qFormat/>
    <w:uiPriority w:val="0"/>
    <w:pPr>
      <w:numPr>
        <w:ilvl w:val="1"/>
      </w:numPr>
      <w:tabs>
        <w:tab w:val="left" w:pos="1320"/>
      </w:tabs>
      <w:ind w:firstLine="113"/>
      <w:jc w:val="left"/>
      <w:outlineLvl w:val="1"/>
    </w:pPr>
    <w:rPr>
      <w:sz w:val="32"/>
    </w:rPr>
  </w:style>
  <w:style w:type="paragraph" w:customStyle="1" w:styleId="65">
    <w:name w:val="三级标题"/>
    <w:basedOn w:val="61"/>
    <w:qFormat/>
    <w:uiPriority w:val="0"/>
    <w:pPr>
      <w:numPr>
        <w:ilvl w:val="2"/>
      </w:numPr>
      <w:tabs>
        <w:tab w:val="left" w:pos="1740"/>
      </w:tabs>
      <w:ind w:left="1740" w:hanging="420"/>
      <w:jc w:val="left"/>
      <w:outlineLvl w:val="2"/>
    </w:pPr>
    <w:rPr>
      <w:sz w:val="28"/>
    </w:rPr>
  </w:style>
  <w:style w:type="paragraph" w:customStyle="1" w:styleId="66">
    <w:name w:val="四级标题"/>
    <w:basedOn w:val="61"/>
    <w:qFormat/>
    <w:uiPriority w:val="0"/>
    <w:pPr>
      <w:numPr>
        <w:ilvl w:val="3"/>
      </w:numPr>
      <w:tabs>
        <w:tab w:val="left" w:pos="2160"/>
      </w:tabs>
      <w:ind w:left="2160" w:hanging="420"/>
      <w:jc w:val="left"/>
      <w:outlineLvl w:val="3"/>
    </w:pPr>
    <w:rPr>
      <w:sz w:val="24"/>
    </w:rPr>
  </w:style>
  <w:style w:type="paragraph" w:customStyle="1" w:styleId="67">
    <w:name w:val="五级标题"/>
    <w:basedOn w:val="61"/>
    <w:qFormat/>
    <w:uiPriority w:val="0"/>
    <w:pPr>
      <w:numPr>
        <w:ilvl w:val="4"/>
      </w:numPr>
      <w:tabs>
        <w:tab w:val="left" w:pos="2580"/>
      </w:tabs>
      <w:ind w:left="2580" w:hanging="420"/>
      <w:jc w:val="left"/>
      <w:outlineLvl w:val="4"/>
    </w:pPr>
    <w:rPr>
      <w:sz w:val="24"/>
    </w:rPr>
  </w:style>
  <w:style w:type="character" w:customStyle="1" w:styleId="68">
    <w:name w:val="批注框文本 字符"/>
    <w:basedOn w:val="24"/>
    <w:link w:val="13"/>
    <w:qFormat/>
    <w:uiPriority w:val="0"/>
    <w:rPr>
      <w:kern w:val="2"/>
      <w:sz w:val="18"/>
      <w:szCs w:val="18"/>
    </w:rPr>
  </w:style>
  <w:style w:type="character" w:customStyle="1" w:styleId="69">
    <w:name w:val="未处理的提及1"/>
    <w:basedOn w:val="24"/>
    <w:semiHidden/>
    <w:unhideWhenUsed/>
    <w:qFormat/>
    <w:uiPriority w:val="99"/>
    <w:rPr>
      <w:color w:val="605E5C"/>
      <w:shd w:val="clear" w:color="auto" w:fill="E1DFDD"/>
    </w:rPr>
  </w:style>
  <w:style w:type="character" w:customStyle="1" w:styleId="70">
    <w:name w:val="页眉 字符"/>
    <w:link w:val="15"/>
    <w:qFormat/>
    <w:uiPriority w:val="0"/>
    <w:rPr>
      <w:rFonts w:ascii="Calibri" w:hAnsi="Calibri"/>
      <w:sz w:val="18"/>
      <w:szCs w:val="18"/>
      <w:lang w:val="zh-CN"/>
    </w:rPr>
  </w:style>
  <w:style w:type="character" w:customStyle="1" w:styleId="71">
    <w:name w:val="页脚 字符"/>
    <w:link w:val="14"/>
    <w:qFormat/>
    <w:uiPriority w:val="99"/>
    <w:rPr>
      <w:rFonts w:ascii="Calibri" w:hAnsi="Calibri"/>
      <w:sz w:val="18"/>
      <w:szCs w:val="18"/>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586</Words>
  <Characters>3343</Characters>
  <Lines>27</Lines>
  <Paragraphs>7</Paragraphs>
  <TotalTime>11</TotalTime>
  <ScaleCrop>false</ScaleCrop>
  <LinksUpToDate>false</LinksUpToDate>
  <CharactersWithSpaces>3922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2021-02-01T09:13:00Z</dcterms:created>
  <dc:creator>smsx</dc:creator>
  <cp:lastModifiedBy>Administrator</cp:lastModifiedBy>
  <cp:lastPrinted>2020-12-09T07:55:00Z</cp:lastPrinted>
  <dcterms:modified xsi:type="dcterms:W3CDTF">2021-02-03T01:11:50Z</dcterms:modified>
  <dc:title>目  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