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天水市生态环境</w:t>
      </w:r>
      <w:r>
        <w:rPr>
          <w:rFonts w:hint="eastAsia" w:ascii="Times New Roman" w:hAnsi="Times New Roman" w:eastAsia="方正小标宋简体" w:cs="Times New Roman"/>
          <w:color w:val="000000" w:themeColor="text1"/>
          <w:sz w:val="44"/>
          <w:szCs w:val="44"/>
          <w:lang w:eastAsia="zh-CN"/>
          <w14:textFill>
            <w14:solidFill>
              <w14:schemeClr w14:val="tx1"/>
            </w14:solidFill>
          </w14:textFill>
        </w:rPr>
        <w:t>局清水分局</w:t>
      </w:r>
    </w:p>
    <w:p>
      <w:pPr>
        <w:spacing w:line="70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202</w:t>
      </w: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3</w:t>
      </w:r>
      <w:r>
        <w:rPr>
          <w:rFonts w:ascii="Times New Roman" w:hAnsi="Times New Roman" w:eastAsia="方正小标宋简体" w:cs="Times New Roman"/>
          <w:color w:val="000000" w:themeColor="text1"/>
          <w:sz w:val="44"/>
          <w:szCs w:val="44"/>
          <w14:textFill>
            <w14:solidFill>
              <w14:schemeClr w14:val="tx1"/>
            </w14:solidFill>
          </w14:textFill>
        </w:rPr>
        <w:t>年部门预算公开说明</w:t>
      </w:r>
    </w:p>
    <w:p>
      <w:pPr>
        <w:spacing w:line="576" w:lineRule="exact"/>
        <w:jc w:val="center"/>
        <w:rPr>
          <w:rFonts w:ascii="Times New Roman" w:hAnsi="Times New Roman" w:eastAsia="楷体_GB2312" w:cs="Times New Roman"/>
          <w:color w:val="000000" w:themeColor="text1"/>
          <w:sz w:val="32"/>
          <w:szCs w:val="32"/>
          <w14:textFill>
            <w14:solidFill>
              <w14:schemeClr w14:val="tx1"/>
            </w14:solidFill>
          </w14:textFill>
        </w:rPr>
      </w:pPr>
    </w:p>
    <w:p>
      <w:pPr>
        <w:spacing w:line="576" w:lineRule="exact"/>
        <w:jc w:val="center"/>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公开时间：202</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3</w:t>
      </w:r>
      <w:r>
        <w:rPr>
          <w:rFonts w:ascii="Times New Roman" w:hAnsi="Times New Roman" w:eastAsia="楷体_GB2312" w:cs="Times New Roman"/>
          <w:color w:val="000000" w:themeColor="text1"/>
          <w:sz w:val="32"/>
          <w:szCs w:val="32"/>
          <w14:textFill>
            <w14:solidFill>
              <w14:schemeClr w14:val="tx1"/>
            </w14:solidFill>
          </w14:textFill>
        </w:rPr>
        <w:t>年1月</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6</w:t>
      </w:r>
      <w:r>
        <w:rPr>
          <w:rFonts w:ascii="Times New Roman" w:hAnsi="Times New Roman" w:eastAsia="楷体_GB2312" w:cs="Times New Roman"/>
          <w:color w:val="000000" w:themeColor="text1"/>
          <w:sz w:val="32"/>
          <w:szCs w:val="32"/>
          <w14:textFill>
            <w14:solidFill>
              <w14:schemeClr w14:val="tx1"/>
            </w14:solidFill>
          </w14:textFill>
        </w:rPr>
        <w:t>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按照《预算法》《</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甘肃省财政厅转发财政部地方预决算公开操作规程的通知</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sz w:val="32"/>
          <w:szCs w:val="32"/>
        </w:rPr>
        <w:t>《中共甘肃省委办公厅 甘肃省人民政府办公厅关于进一步推进预算公开工作的实施方案》</w:t>
      </w:r>
      <w:r>
        <w:rPr>
          <w:rFonts w:ascii="Times New Roman" w:hAnsi="Times New Roman" w:eastAsia="仿宋_GB2312" w:cs="Times New Roman"/>
          <w:color w:val="000000" w:themeColor="text1"/>
          <w:sz w:val="32"/>
          <w:szCs w:val="32"/>
          <w14:textFill>
            <w14:solidFill>
              <w14:schemeClr w14:val="tx1"/>
            </w14:solidFill>
          </w14:textFill>
        </w:rPr>
        <w:t>《天水市市委市政府〈关于进一步推进预算公开工作的实施方案〉》，现将202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年部门预算公开如下：</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一、部门职责</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（一）</w:t>
      </w:r>
      <w:r>
        <w:rPr>
          <w:rFonts w:ascii="Times New Roman" w:hAnsi="Times New Roman" w:eastAsia="仿宋_GB2312" w:cs="Times New Roman"/>
          <w:color w:val="000000" w:themeColor="text1"/>
          <w:kern w:val="2"/>
          <w:sz w:val="32"/>
          <w:szCs w:val="32"/>
          <w14:textFill>
            <w14:solidFill>
              <w14:schemeClr w14:val="tx1"/>
            </w14:solidFill>
          </w14:textFill>
        </w:rPr>
        <w:t>建立健全生态环境有关制度</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二</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负责重大生态环境问题的统筹协调和监督管理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（三）</w:t>
      </w:r>
      <w:r>
        <w:rPr>
          <w:rFonts w:ascii="Times New Roman" w:hAnsi="Times New Roman" w:eastAsia="仿宋_GB2312" w:cs="Times New Roman"/>
          <w:color w:val="000000" w:themeColor="text1"/>
          <w:kern w:val="2"/>
          <w:sz w:val="32"/>
          <w:szCs w:val="32"/>
          <w14:textFill>
            <w14:solidFill>
              <w14:schemeClr w14:val="tx1"/>
            </w14:solidFill>
          </w14:textFill>
        </w:rPr>
        <w:t>负责监督管理减排目标的落实</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四</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负责提出生态领域固定资产投资规模和方向及财政性资金安排的意见</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（五）</w:t>
      </w:r>
      <w:r>
        <w:rPr>
          <w:rFonts w:ascii="Times New Roman" w:hAnsi="Times New Roman" w:eastAsia="仿宋_GB2312" w:cs="Times New Roman"/>
          <w:color w:val="000000" w:themeColor="text1"/>
          <w:kern w:val="2"/>
          <w:sz w:val="32"/>
          <w:szCs w:val="32"/>
          <w14:textFill>
            <w14:solidFill>
              <w14:schemeClr w14:val="tx1"/>
            </w14:solidFill>
          </w14:textFill>
        </w:rPr>
        <w:t>负责环境污染防治的监督管理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（六）</w:t>
      </w:r>
      <w:r>
        <w:rPr>
          <w:rFonts w:ascii="Times New Roman" w:hAnsi="Times New Roman" w:eastAsia="仿宋_GB2312" w:cs="Times New Roman"/>
          <w:color w:val="000000" w:themeColor="text1"/>
          <w:kern w:val="2"/>
          <w:sz w:val="32"/>
          <w:szCs w:val="32"/>
          <w14:textFill>
            <w14:solidFill>
              <w14:schemeClr w14:val="tx1"/>
            </w14:solidFill>
          </w14:textFill>
        </w:rPr>
        <w:t>指导协调和监督生态保护修复工作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（七）</w:t>
      </w:r>
      <w:r>
        <w:rPr>
          <w:rFonts w:ascii="Times New Roman" w:hAnsi="Times New Roman" w:eastAsia="仿宋_GB2312" w:cs="Times New Roman"/>
          <w:color w:val="000000" w:themeColor="text1"/>
          <w:kern w:val="2"/>
          <w:sz w:val="32"/>
          <w:szCs w:val="32"/>
          <w14:textFill>
            <w14:solidFill>
              <w14:schemeClr w14:val="tx1"/>
            </w14:solidFill>
          </w14:textFill>
        </w:rPr>
        <w:t>负责核与辐射安全的监督管理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（八）</w:t>
      </w:r>
      <w:r>
        <w:rPr>
          <w:rFonts w:ascii="Times New Roman" w:hAnsi="Times New Roman" w:eastAsia="仿宋_GB2312" w:cs="Times New Roman"/>
          <w:color w:val="000000" w:themeColor="text1"/>
          <w:kern w:val="2"/>
          <w:sz w:val="32"/>
          <w:szCs w:val="32"/>
          <w14:textFill>
            <w14:solidFill>
              <w14:schemeClr w14:val="tx1"/>
            </w14:solidFill>
          </w14:textFill>
        </w:rPr>
        <w:t>负责生态环境准入的监督管理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（九）</w:t>
      </w:r>
      <w:r>
        <w:rPr>
          <w:rFonts w:ascii="Times New Roman" w:hAnsi="Times New Roman" w:eastAsia="仿宋_GB2312" w:cs="Times New Roman"/>
          <w:color w:val="000000" w:themeColor="text1"/>
          <w:kern w:val="2"/>
          <w:sz w:val="32"/>
          <w:szCs w:val="32"/>
          <w14:textFill>
            <w14:solidFill>
              <w14:schemeClr w14:val="tx1"/>
            </w14:solidFill>
          </w14:textFill>
        </w:rPr>
        <w:t>负责生态环境监测工作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w:t>
      </w:r>
      <w:r>
        <w:rPr>
          <w:rFonts w:ascii="Times New Roman" w:hAnsi="Times New Roman" w:eastAsia="仿宋_GB2312" w:cs="Times New Roman"/>
          <w:color w:val="000000" w:themeColor="text1"/>
          <w:kern w:val="2"/>
          <w:sz w:val="32"/>
          <w:szCs w:val="32"/>
          <w14:textFill>
            <w14:solidFill>
              <w14:schemeClr w14:val="tx1"/>
            </w14:solidFill>
          </w14:textFill>
        </w:rPr>
        <w:t>负责应对气候变化工作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（十一）</w:t>
      </w:r>
      <w:r>
        <w:rPr>
          <w:rFonts w:ascii="Times New Roman" w:hAnsi="Times New Roman" w:eastAsia="仿宋_GB2312" w:cs="Times New Roman"/>
          <w:color w:val="000000" w:themeColor="text1"/>
          <w:kern w:val="2"/>
          <w:sz w:val="32"/>
          <w:szCs w:val="32"/>
          <w14:textFill>
            <w14:solidFill>
              <w14:schemeClr w14:val="tx1"/>
            </w14:solidFill>
          </w14:textFill>
        </w:rPr>
        <w:t>组织开展</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分局</w:t>
      </w:r>
      <w:r>
        <w:rPr>
          <w:rFonts w:ascii="Times New Roman" w:hAnsi="Times New Roman" w:eastAsia="仿宋_GB2312" w:cs="Times New Roman"/>
          <w:color w:val="000000" w:themeColor="text1"/>
          <w:kern w:val="2"/>
          <w:sz w:val="32"/>
          <w:szCs w:val="32"/>
          <w14:textFill>
            <w14:solidFill>
              <w14:schemeClr w14:val="tx1"/>
            </w14:solidFill>
          </w14:textFill>
        </w:rPr>
        <w:t>生态环境保护工作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（十二）</w:t>
      </w:r>
      <w:r>
        <w:rPr>
          <w:rFonts w:ascii="Times New Roman" w:hAnsi="Times New Roman" w:eastAsia="仿宋_GB2312" w:cs="Times New Roman"/>
          <w:color w:val="000000" w:themeColor="text1"/>
          <w:kern w:val="2"/>
          <w:sz w:val="32"/>
          <w:szCs w:val="32"/>
          <w14:textFill>
            <w14:solidFill>
              <w14:schemeClr w14:val="tx1"/>
            </w14:solidFill>
          </w14:textFill>
        </w:rPr>
        <w:t>统一负责</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分局</w:t>
      </w:r>
      <w:r>
        <w:rPr>
          <w:rFonts w:ascii="Times New Roman" w:hAnsi="Times New Roman" w:eastAsia="仿宋_GB2312" w:cs="Times New Roman"/>
          <w:color w:val="000000" w:themeColor="text1"/>
          <w:kern w:val="2"/>
          <w:sz w:val="32"/>
          <w:szCs w:val="32"/>
          <w14:textFill>
            <w14:solidFill>
              <w14:schemeClr w14:val="tx1"/>
            </w14:solidFill>
          </w14:textFill>
        </w:rPr>
        <w:t>生态环境监督执法</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（十三）</w:t>
      </w:r>
      <w:r>
        <w:rPr>
          <w:rFonts w:ascii="Times New Roman" w:hAnsi="Times New Roman" w:eastAsia="仿宋_GB2312" w:cs="Times New Roman"/>
          <w:color w:val="000000" w:themeColor="text1"/>
          <w:kern w:val="2"/>
          <w:sz w:val="32"/>
          <w:szCs w:val="32"/>
          <w14:textFill>
            <w14:solidFill>
              <w14:schemeClr w14:val="tx1"/>
            </w14:solidFill>
          </w14:textFill>
        </w:rPr>
        <w:t>组织开展</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分局</w:t>
      </w:r>
      <w:r>
        <w:rPr>
          <w:rFonts w:ascii="Times New Roman" w:hAnsi="Times New Roman" w:eastAsia="仿宋_GB2312" w:cs="Times New Roman"/>
          <w:color w:val="000000" w:themeColor="text1"/>
          <w:kern w:val="2"/>
          <w:sz w:val="32"/>
          <w:szCs w:val="32"/>
          <w14:textFill>
            <w14:solidFill>
              <w14:schemeClr w14:val="tx1"/>
            </w14:solidFill>
          </w14:textFill>
        </w:rPr>
        <w:t>生态环境宣传教育工作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（十四）</w:t>
      </w:r>
      <w:r>
        <w:rPr>
          <w:rFonts w:ascii="Times New Roman" w:hAnsi="Times New Roman" w:eastAsia="仿宋_GB2312" w:cs="Times New Roman"/>
          <w:color w:val="000000" w:themeColor="text1"/>
          <w:kern w:val="2"/>
          <w:sz w:val="32"/>
          <w:szCs w:val="32"/>
          <w14:textFill>
            <w14:solidFill>
              <w14:schemeClr w14:val="tx1"/>
            </w14:solidFill>
          </w14:textFill>
        </w:rPr>
        <w:t>完成</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县委县</w:t>
      </w:r>
      <w:r>
        <w:rPr>
          <w:rFonts w:ascii="Times New Roman" w:hAnsi="Times New Roman" w:eastAsia="仿宋_GB2312" w:cs="Times New Roman"/>
          <w:color w:val="000000" w:themeColor="text1"/>
          <w:kern w:val="2"/>
          <w:sz w:val="32"/>
          <w:szCs w:val="32"/>
          <w14:textFill>
            <w14:solidFill>
              <w14:schemeClr w14:val="tx1"/>
            </w14:solidFill>
          </w14:textFill>
        </w:rPr>
        <w:t>政府和</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市局</w:t>
      </w:r>
      <w:r>
        <w:rPr>
          <w:rFonts w:ascii="Times New Roman" w:hAnsi="Times New Roman" w:eastAsia="仿宋_GB2312" w:cs="Times New Roman"/>
          <w:color w:val="000000" w:themeColor="text1"/>
          <w:kern w:val="2"/>
          <w:sz w:val="32"/>
          <w:szCs w:val="32"/>
          <w14:textFill>
            <w14:solidFill>
              <w14:schemeClr w14:val="tx1"/>
            </w14:solidFill>
          </w14:textFill>
        </w:rPr>
        <w:t>交办的其他任务</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二、机构设置</w:t>
      </w:r>
    </w:p>
    <w:p>
      <w:pPr>
        <w:spacing w:line="576" w:lineRule="exact"/>
        <w:ind w:firstLine="640" w:firstLineChars="200"/>
        <w:jc w:val="left"/>
        <w:rPr>
          <w:rFonts w:hint="eastAsia"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天水市生态环境局清水分局内设清水县生态环境保护综合行政执法队</w:t>
      </w:r>
      <w:r>
        <w:rPr>
          <w:rFonts w:hint="eastAsia" w:ascii="仿宋_GB2312" w:hAnsi="宋体" w:eastAsia="仿宋_GB2312" w:cs="宋体"/>
          <w:color w:val="000000" w:themeColor="text1"/>
          <w:sz w:val="32"/>
          <w:szCs w:val="32"/>
          <w14:textFill>
            <w14:solidFill>
              <w14:schemeClr w14:val="tx1"/>
            </w14:solidFill>
          </w14:textFill>
        </w:rPr>
        <w:t>、</w:t>
      </w:r>
      <w:r>
        <w:rPr>
          <w:rFonts w:hint="eastAsia" w:ascii="仿宋_GB2312" w:hAnsi="宋体" w:eastAsia="仿宋_GB2312" w:cs="宋体"/>
          <w:color w:val="000000" w:themeColor="text1"/>
          <w:sz w:val="32"/>
          <w:szCs w:val="32"/>
          <w:lang w:eastAsia="zh-CN"/>
          <w14:textFill>
            <w14:solidFill>
              <w14:schemeClr w14:val="tx1"/>
            </w14:solidFill>
          </w14:textFill>
        </w:rPr>
        <w:t>天水市清水生态</w:t>
      </w:r>
      <w:r>
        <w:rPr>
          <w:rFonts w:hint="eastAsia" w:ascii="仿宋_GB2312" w:hAnsi="宋体" w:eastAsia="仿宋_GB2312" w:cs="宋体"/>
          <w:color w:val="000000" w:themeColor="text1"/>
          <w:sz w:val="32"/>
          <w:szCs w:val="32"/>
          <w14:textFill>
            <w14:solidFill>
              <w14:schemeClr w14:val="tx1"/>
            </w14:solidFill>
          </w14:textFill>
        </w:rPr>
        <w:t>环境监测站</w:t>
      </w:r>
      <w:r>
        <w:rPr>
          <w:rFonts w:hint="eastAsia" w:ascii="仿宋_GB2312" w:hAnsi="宋体" w:eastAsia="仿宋_GB2312" w:cs="宋体"/>
          <w:color w:val="000000" w:themeColor="text1"/>
          <w:sz w:val="32"/>
          <w:szCs w:val="32"/>
          <w:lang w:val="en-US" w:eastAsia="zh-CN"/>
          <w14:textFill>
            <w14:solidFill>
              <w14:schemeClr w14:val="tx1"/>
            </w14:solidFill>
          </w14:textFill>
        </w:rPr>
        <w:t>两</w:t>
      </w:r>
      <w:r>
        <w:rPr>
          <w:rFonts w:hint="eastAsia" w:ascii="仿宋_GB2312" w:hAnsi="宋体" w:eastAsia="仿宋_GB2312" w:cs="宋体"/>
          <w:color w:val="000000" w:themeColor="text1"/>
          <w:sz w:val="32"/>
          <w:szCs w:val="32"/>
          <w14:textFill>
            <w14:solidFill>
              <w14:schemeClr w14:val="tx1"/>
            </w14:solidFill>
          </w14:textFill>
        </w:rPr>
        <w:t>个副科级事业单位。局机关设办公室、</w:t>
      </w:r>
      <w:r>
        <w:rPr>
          <w:rFonts w:hint="eastAsia" w:ascii="仿宋_GB2312" w:hAnsi="宋体" w:eastAsia="仿宋_GB2312" w:cs="宋体"/>
          <w:color w:val="000000" w:themeColor="text1"/>
          <w:sz w:val="32"/>
          <w:szCs w:val="32"/>
          <w:lang w:eastAsia="zh-CN"/>
          <w14:textFill>
            <w14:solidFill>
              <w14:schemeClr w14:val="tx1"/>
            </w14:solidFill>
          </w14:textFill>
        </w:rPr>
        <w:t>生态</w:t>
      </w:r>
      <w:r>
        <w:rPr>
          <w:rFonts w:hint="eastAsia" w:ascii="仿宋_GB2312" w:hAnsi="宋体" w:eastAsia="仿宋_GB2312" w:cs="宋体"/>
          <w:color w:val="000000" w:themeColor="text1"/>
          <w:sz w:val="32"/>
          <w:szCs w:val="32"/>
          <w14:textFill>
            <w14:solidFill>
              <w14:schemeClr w14:val="tx1"/>
            </w14:solidFill>
          </w14:textFill>
        </w:rPr>
        <w:t>股、管理股</w:t>
      </w:r>
      <w:r>
        <w:rPr>
          <w:rFonts w:hint="eastAsia" w:ascii="仿宋_GB2312" w:hAnsi="宋体" w:eastAsia="仿宋_GB2312" w:cs="宋体"/>
          <w:color w:val="000000" w:themeColor="text1"/>
          <w:sz w:val="32"/>
          <w:szCs w:val="32"/>
          <w:lang w:eastAsia="zh-CN"/>
          <w14:textFill>
            <w14:solidFill>
              <w14:schemeClr w14:val="tx1"/>
            </w14:solidFill>
          </w14:textFill>
        </w:rPr>
        <w:t>、污防股</w:t>
      </w:r>
      <w:r>
        <w:rPr>
          <w:rFonts w:hint="eastAsia" w:ascii="仿宋_GB2312" w:hAnsi="宋体" w:eastAsia="仿宋_GB2312" w:cs="宋体"/>
          <w:color w:val="000000" w:themeColor="text1"/>
          <w:sz w:val="32"/>
          <w:szCs w:val="32"/>
          <w:lang w:val="en-US" w:eastAsia="zh-CN"/>
          <w14:textFill>
            <w14:solidFill>
              <w14:schemeClr w14:val="tx1"/>
            </w14:solidFill>
          </w14:textFill>
        </w:rPr>
        <w:t>4个股室</w:t>
      </w:r>
      <w:r>
        <w:rPr>
          <w:rFonts w:hint="eastAsia" w:ascii="仿宋_GB2312" w:hAnsi="宋体" w:eastAsia="仿宋_GB2312" w:cs="宋体"/>
          <w:color w:val="000000" w:themeColor="text1"/>
          <w:sz w:val="32"/>
          <w:szCs w:val="32"/>
          <w:lang w:eastAsia="zh-CN"/>
          <w14:textFill>
            <w14:solidFill>
              <w14:schemeClr w14:val="tx1"/>
            </w14:solidFill>
          </w14:textFill>
        </w:rPr>
        <w:t>。</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三、部门预算收入及支出总体情况</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（一）全年收入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年收入预算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375.76</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362.42</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13.34</w:t>
      </w:r>
      <w:r>
        <w:rPr>
          <w:rFonts w:ascii="Times New Roman" w:hAnsi="Times New Roman" w:eastAsia="仿宋_GB2312" w:cs="Times New Roman"/>
          <w:color w:val="000000" w:themeColor="text1"/>
          <w:sz w:val="32"/>
          <w:szCs w:val="32"/>
          <w14:textFill>
            <w14:solidFill>
              <w14:schemeClr w14:val="tx1"/>
            </w14:solidFill>
          </w14:textFill>
        </w:rPr>
        <w:t>万元，同比</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3.55%</w:t>
      </w:r>
      <w:r>
        <w:rPr>
          <w:rFonts w:ascii="Times New Roman" w:hAnsi="Times New Roman" w:eastAsia="仿宋_GB2312" w:cs="Times New Roman"/>
          <w:color w:val="000000" w:themeColor="text1"/>
          <w:sz w:val="32"/>
          <w:szCs w:val="32"/>
          <w14:textFill>
            <w14:solidFill>
              <w14:schemeClr w14:val="tx1"/>
            </w14:solidFill>
          </w14:textFill>
        </w:rPr>
        <w:t>。其中：一般公共预算拨款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375.76</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13.34</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，同比</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13.55%</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ascii="Times New Roman" w:hAnsi="Times New Roman" w:eastAsia="仿宋_GB2312" w:cs="Times New Roman"/>
          <w:color w:val="000000" w:themeColor="text1"/>
          <w:sz w:val="32"/>
          <w:szCs w:val="32"/>
          <w14:textFill>
            <w14:solidFill>
              <w14:schemeClr w14:val="tx1"/>
            </w14:solidFill>
          </w14:textFill>
        </w:rPr>
        <w:t>原因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是人员工资正常晋升和工资调标</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（二）全年支出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年支出预算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375.76</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13.34</w:t>
      </w:r>
      <w:r>
        <w:rPr>
          <w:rFonts w:hint="eastAsia" w:ascii="Times New Roman" w:hAnsi="Times New Roman" w:eastAsia="仿宋_GB2312" w:cs="Times New Roman"/>
          <w:color w:val="000000" w:themeColor="text1"/>
          <w:sz w:val="32"/>
          <w:szCs w:val="32"/>
          <w14:textFill>
            <w14:solidFill>
              <w14:schemeClr w14:val="tx1"/>
            </w14:solidFill>
          </w14:textFill>
        </w:rPr>
        <w:t>万元。</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基本支出</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375.762</w:t>
      </w:r>
      <w:r>
        <w:rPr>
          <w:rFonts w:ascii="Times New Roman" w:hAnsi="Times New Roman" w:eastAsia="仿宋_GB2312" w:cs="Times New Roman"/>
          <w:color w:val="000000" w:themeColor="text1"/>
          <w:sz w:val="32"/>
          <w:szCs w:val="32"/>
          <w14:textFill>
            <w14:solidFill>
              <w14:schemeClr w14:val="tx1"/>
            </w14:solidFill>
          </w14:textFill>
        </w:rPr>
        <w:t>万元，其中人员经费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375.76</w:t>
      </w:r>
      <w:r>
        <w:rPr>
          <w:rFonts w:ascii="Times New Roman" w:hAnsi="Times New Roman" w:eastAsia="仿宋_GB2312" w:cs="Times New Roman"/>
          <w:color w:val="000000" w:themeColor="text1"/>
          <w:sz w:val="32"/>
          <w:szCs w:val="32"/>
          <w14:textFill>
            <w14:solidFill>
              <w14:schemeClr w14:val="tx1"/>
            </w14:solidFill>
          </w14:textFill>
        </w:rPr>
        <w:t>万元，公用经费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20.17</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13.34</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同比</w:t>
      </w:r>
      <w:r>
        <w:rPr>
          <w:rFonts w:ascii="Times New Roman" w:hAnsi="Times New Roman" w:eastAsia="仿宋_GB2312" w:cs="Times New Roman"/>
          <w:color w:val="000000" w:themeColor="text1"/>
          <w:sz w:val="32"/>
          <w:szCs w:val="32"/>
          <w14:textFill>
            <w14:solidFill>
              <w14:schemeClr w14:val="tx1"/>
            </w14:solidFill>
          </w14:textFill>
        </w:rPr>
        <w:t>增长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13.55</w:t>
      </w:r>
      <w:r>
        <w:rPr>
          <w:rFonts w:ascii="Times New Roman" w:hAnsi="Times New Roman" w:eastAsia="仿宋_GB2312" w:cs="Times New Roman"/>
          <w:color w:val="000000" w:themeColor="text1"/>
          <w:sz w:val="32"/>
          <w:szCs w:val="32"/>
          <w14:textFill>
            <w14:solidFill>
              <w14:schemeClr w14:val="tx1"/>
            </w14:solidFill>
          </w14:textFill>
        </w:rPr>
        <w:t>%。增加原因</w:t>
      </w:r>
      <w:r>
        <w:rPr>
          <w:rFonts w:hint="eastAsia" w:ascii="Times New Roman" w:hAnsi="Times New Roman" w:eastAsia="仿宋_GB2312" w:cs="Times New Roman"/>
          <w:color w:val="000000" w:themeColor="text1"/>
          <w:sz w:val="32"/>
          <w:szCs w:val="32"/>
          <w14:textFill>
            <w14:solidFill>
              <w14:schemeClr w14:val="tx1"/>
            </w14:solidFill>
          </w14:textFill>
        </w:rPr>
        <w:t>系</w:t>
      </w:r>
      <w:r>
        <w:rPr>
          <w:rFonts w:ascii="Times New Roman" w:hAnsi="Times New Roman" w:eastAsia="仿宋_GB2312" w:cs="Times New Roman"/>
          <w:color w:val="000000" w:themeColor="text1"/>
          <w:sz w:val="32"/>
          <w:szCs w:val="32"/>
          <w14:textFill>
            <w14:solidFill>
              <w14:schemeClr w14:val="tx1"/>
            </w14:solidFill>
          </w14:textFill>
        </w:rPr>
        <w:t>职工职务职级晋升，财政工资支出有所增加。</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（三）政府支出功能分类指标</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一般公共服务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社会保障和就业支出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31.10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卫生健康支出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15.19</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节能环保支出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309.59</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住房保障支出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19.88</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（四）非税收入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14:textFill>
            <w14:solidFill>
              <w14:schemeClr w14:val="tx1"/>
            </w14:solidFill>
          </w14:textFill>
        </w:rPr>
        <w:t>无</w:t>
      </w:r>
      <w:r>
        <w:rPr>
          <w:rFonts w:ascii="Times New Roman" w:hAnsi="Times New Roman" w:eastAsia="仿宋_GB2312" w:cs="Times New Roman"/>
          <w:color w:val="000000" w:themeColor="text1"/>
          <w:sz w:val="32"/>
          <w:szCs w:val="32"/>
          <w14:textFill>
            <w14:solidFill>
              <w14:schemeClr w14:val="tx1"/>
            </w14:solidFill>
          </w14:textFill>
        </w:rPr>
        <w:t>非税收入</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（五）</w:t>
      </w:r>
      <w:r>
        <w:rPr>
          <w:rFonts w:ascii="楷体_GB2312" w:hAnsi="Times New Roman" w:eastAsia="楷体_GB2312" w:cs="Times New Roman"/>
          <w:color w:val="000000" w:themeColor="text1"/>
          <w:sz w:val="32"/>
          <w:szCs w:val="32"/>
          <w14:textFill>
            <w14:solidFill>
              <w14:schemeClr w14:val="tx1"/>
            </w14:solidFill>
          </w14:textFill>
        </w:rPr>
        <w:t>政府性基金预算支出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年无政府性基金预算安排支出。</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四、部门一般性支出、三公经费财政拨款情况</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（一）三公经费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年三公经费预算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其中：</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因公出国（境）费用0万元，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公务接待费0万元，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公务用车购置及运行维护费0万元（其中：公务用车购置0万元，公务用车运行维护费0万元），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（二）培训费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培训费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2.49</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2.49</w:t>
      </w:r>
      <w:r>
        <w:rPr>
          <w:rFonts w:ascii="Times New Roman" w:hAnsi="Times New Roman" w:eastAsia="仿宋_GB2312" w:cs="Times New Roman"/>
          <w:color w:val="000000" w:themeColor="text1"/>
          <w:sz w:val="32"/>
          <w:szCs w:val="32"/>
          <w14:textFill>
            <w14:solidFill>
              <w14:schemeClr w14:val="tx1"/>
            </w14:solidFill>
          </w14:textFill>
        </w:rPr>
        <w:t>万元，同比增长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增加原因</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为需要开展生态文明示范县巩固工作，其中一项内容为“党政领导干部培训比率指标”，需要开展环保专项培训</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（三）会议费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（四）机关运行费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机关运行费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20.17</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4.17万元。增加原因主要系福利费财政预算增加，培训费增加。</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五</w:t>
      </w:r>
      <w:r>
        <w:rPr>
          <w:rFonts w:ascii="Times New Roman" w:hAnsi="Times New Roman" w:eastAsia="黑体" w:cs="Times New Roman"/>
          <w:color w:val="000000" w:themeColor="text1"/>
          <w:sz w:val="32"/>
          <w:szCs w:val="32"/>
          <w14:textFill>
            <w14:solidFill>
              <w14:schemeClr w14:val="tx1"/>
            </w14:solidFill>
          </w14:textFill>
        </w:rPr>
        <w:t>、名词解释</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7</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pacing w:val="-6"/>
          <w:sz w:val="32"/>
          <w:szCs w:val="32"/>
          <w14:textFill>
            <w14:solidFill>
              <w14:schemeClr w14:val="tx1"/>
            </w14:solidFill>
          </w14:textFill>
        </w:rPr>
        <w:t>般公共服务支出</w:t>
      </w:r>
      <w:r>
        <w:rPr>
          <w:rFonts w:hint="eastAsia" w:ascii="Times New Roman" w:hAnsi="Times New Roman" w:eastAsia="仿宋_GB2312" w:cs="Times New Roman"/>
          <w:color w:val="000000" w:themeColor="text1"/>
          <w:spacing w:val="-6"/>
          <w:sz w:val="32"/>
          <w:szCs w:val="32"/>
          <w14:textFill>
            <w14:solidFill>
              <w14:schemeClr w14:val="tx1"/>
            </w14:solidFill>
          </w14:textFill>
        </w:rPr>
        <w:t>：</w:t>
      </w:r>
      <w:r>
        <w:rPr>
          <w:rFonts w:ascii="Times New Roman" w:hAnsi="Times New Roman" w:eastAsia="仿宋_GB2312" w:cs="Times New Roman"/>
          <w:color w:val="000000" w:themeColor="text1"/>
          <w:spacing w:val="-6"/>
          <w:sz w:val="32"/>
          <w:szCs w:val="32"/>
          <w14:textFill>
            <w14:solidFill>
              <w14:schemeClr w14:val="tx1"/>
            </w14:solidFill>
          </w14:textFill>
        </w:rPr>
        <w:t>反映政府提供的一般公共服务的支出</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附件：天水市生态环境局</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清水</w:t>
      </w:r>
      <w:bookmarkStart w:id="0" w:name="_GoBack"/>
      <w:bookmarkEnd w:id="0"/>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分局</w:t>
      </w:r>
      <w:r>
        <w:rPr>
          <w:rFonts w:ascii="Times New Roman" w:hAnsi="Times New Roman" w:eastAsia="仿宋_GB2312" w:cs="Times New Roman"/>
          <w:color w:val="000000" w:themeColor="text1"/>
          <w:sz w:val="32"/>
          <w:szCs w:val="32"/>
          <w14:textFill>
            <w14:solidFill>
              <w14:schemeClr w14:val="tx1"/>
            </w14:solidFill>
          </w14:textFill>
        </w:rPr>
        <w:t>单位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年部门预算公开表</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sectPr>
          <w:pgSz w:w="11906" w:h="16838"/>
          <w:pgMar w:top="2098" w:right="1531" w:bottom="1985" w:left="1531" w:header="851" w:footer="992" w:gutter="0"/>
          <w:cols w:space="425" w:num="1"/>
          <w:docGrid w:type="lines" w:linePitch="312" w:charSpace="0"/>
        </w:sectPr>
      </w:pPr>
    </w:p>
    <w:p>
      <w:pPr>
        <w:spacing w:line="576" w:lineRule="exact"/>
        <w:ind w:firstLine="420" w:firstLineChars="200"/>
        <w:jc w:val="left"/>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pPr>
      <w:r>
        <w:drawing>
          <wp:anchor distT="0" distB="0" distL="114300" distR="114300" simplePos="0" relativeHeight="251658240" behindDoc="0" locked="0" layoutInCell="1" allowOverlap="1">
            <wp:simplePos x="0" y="0"/>
            <wp:positionH relativeFrom="column">
              <wp:posOffset>390525</wp:posOffset>
            </wp:positionH>
            <wp:positionV relativeFrom="paragraph">
              <wp:posOffset>123190</wp:posOffset>
            </wp:positionV>
            <wp:extent cx="7107555" cy="5393055"/>
            <wp:effectExtent l="0" t="0" r="9525" b="190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7107555" cy="5393055"/>
                    </a:xfrm>
                    <a:prstGeom prst="rect">
                      <a:avLst/>
                    </a:prstGeom>
                    <a:noFill/>
                    <a:ln w="9525">
                      <a:noFill/>
                    </a:ln>
                  </pic:spPr>
                </pic:pic>
              </a:graphicData>
            </a:graphic>
          </wp:anchor>
        </w:drawing>
      </w: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p>
    <w:p>
      <w:pPr>
        <w:spacing w:line="576" w:lineRule="exact"/>
        <w:ind w:firstLine="420" w:firstLineChars="200"/>
        <w:jc w:val="left"/>
      </w:pPr>
      <w:r>
        <w:drawing>
          <wp:anchor distT="0" distB="0" distL="114300" distR="114300" simplePos="0" relativeHeight="251659264" behindDoc="0" locked="0" layoutInCell="1" allowOverlap="1">
            <wp:simplePos x="0" y="0"/>
            <wp:positionH relativeFrom="column">
              <wp:posOffset>419100</wp:posOffset>
            </wp:positionH>
            <wp:positionV relativeFrom="paragraph">
              <wp:posOffset>-276860</wp:posOffset>
            </wp:positionV>
            <wp:extent cx="7189470" cy="6136640"/>
            <wp:effectExtent l="0" t="0" r="3810" b="508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7189470" cy="6136640"/>
                    </a:xfrm>
                    <a:prstGeom prst="rect">
                      <a:avLst/>
                    </a:prstGeom>
                    <a:noFill/>
                    <a:ln w="9525">
                      <a:noFill/>
                    </a:ln>
                  </pic:spPr>
                </pic:pic>
              </a:graphicData>
            </a:graphic>
          </wp:anchor>
        </w:drawing>
      </w:r>
    </w:p>
    <w:p>
      <w:pPr>
        <w:spacing w:line="576" w:lineRule="exact"/>
        <w:ind w:firstLine="420" w:firstLineChars="200"/>
        <w:jc w:val="left"/>
      </w:pPr>
    </w:p>
    <w:p>
      <w:pPr>
        <w:spacing w:line="576" w:lineRule="exact"/>
        <w:ind w:firstLine="420" w:firstLineChars="200"/>
        <w:jc w:val="left"/>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0288" behindDoc="0" locked="0" layoutInCell="1" allowOverlap="1">
            <wp:simplePos x="0" y="0"/>
            <wp:positionH relativeFrom="column">
              <wp:posOffset>266700</wp:posOffset>
            </wp:positionH>
            <wp:positionV relativeFrom="paragraph">
              <wp:posOffset>-189230</wp:posOffset>
            </wp:positionV>
            <wp:extent cx="8326120" cy="5735320"/>
            <wp:effectExtent l="0" t="0" r="10160" b="1016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8326120" cy="573532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1312" behindDoc="0" locked="0" layoutInCell="1" allowOverlap="1">
            <wp:simplePos x="0" y="0"/>
            <wp:positionH relativeFrom="column">
              <wp:posOffset>-475615</wp:posOffset>
            </wp:positionH>
            <wp:positionV relativeFrom="paragraph">
              <wp:posOffset>127635</wp:posOffset>
            </wp:positionV>
            <wp:extent cx="8924925" cy="5392420"/>
            <wp:effectExtent l="0" t="0" r="5715" b="2540"/>
            <wp:wrapNone/>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7"/>
                    <a:stretch>
                      <a:fillRect/>
                    </a:stretch>
                  </pic:blipFill>
                  <pic:spPr>
                    <a:xfrm>
                      <a:off x="0" y="0"/>
                      <a:ext cx="8924925" cy="539242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2336" behindDoc="0" locked="0" layoutInCell="1" allowOverlap="1">
            <wp:simplePos x="0" y="0"/>
            <wp:positionH relativeFrom="column">
              <wp:posOffset>266700</wp:posOffset>
            </wp:positionH>
            <wp:positionV relativeFrom="paragraph">
              <wp:posOffset>34290</wp:posOffset>
            </wp:positionV>
            <wp:extent cx="7673340" cy="3900170"/>
            <wp:effectExtent l="0" t="0" r="7620" b="1270"/>
            <wp:wrapNone/>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8"/>
                    <a:stretch>
                      <a:fillRect/>
                    </a:stretch>
                  </pic:blipFill>
                  <pic:spPr>
                    <a:xfrm>
                      <a:off x="0" y="0"/>
                      <a:ext cx="7673340" cy="390017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3360" behindDoc="0" locked="0" layoutInCell="1" allowOverlap="1">
            <wp:simplePos x="0" y="0"/>
            <wp:positionH relativeFrom="column">
              <wp:posOffset>38100</wp:posOffset>
            </wp:positionH>
            <wp:positionV relativeFrom="paragraph">
              <wp:posOffset>288925</wp:posOffset>
            </wp:positionV>
            <wp:extent cx="8364220" cy="3295650"/>
            <wp:effectExtent l="0" t="0" r="2540" b="11430"/>
            <wp:wrapNone/>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9"/>
                    <a:stretch>
                      <a:fillRect/>
                    </a:stretch>
                  </pic:blipFill>
                  <pic:spPr>
                    <a:xfrm>
                      <a:off x="0" y="0"/>
                      <a:ext cx="8364220" cy="329565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4384" behindDoc="0" locked="0" layoutInCell="1" allowOverlap="1">
            <wp:simplePos x="0" y="0"/>
            <wp:positionH relativeFrom="column">
              <wp:posOffset>209550</wp:posOffset>
            </wp:positionH>
            <wp:positionV relativeFrom="paragraph">
              <wp:posOffset>26035</wp:posOffset>
            </wp:positionV>
            <wp:extent cx="8155305" cy="5098415"/>
            <wp:effectExtent l="0" t="0" r="13335" b="6985"/>
            <wp:wrapNone/>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0"/>
                    <a:stretch>
                      <a:fillRect/>
                    </a:stretch>
                  </pic:blipFill>
                  <pic:spPr>
                    <a:xfrm>
                      <a:off x="0" y="0"/>
                      <a:ext cx="8155305" cy="5098415"/>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5408" behindDoc="0" locked="0" layoutInCell="1" allowOverlap="1">
            <wp:simplePos x="0" y="0"/>
            <wp:positionH relativeFrom="column">
              <wp:posOffset>-745490</wp:posOffset>
            </wp:positionH>
            <wp:positionV relativeFrom="paragraph">
              <wp:posOffset>-863600</wp:posOffset>
            </wp:positionV>
            <wp:extent cx="9780270" cy="6432550"/>
            <wp:effectExtent l="0" t="0" r="3810" b="1397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1"/>
                    <a:stretch>
                      <a:fillRect/>
                    </a:stretch>
                  </pic:blipFill>
                  <pic:spPr>
                    <a:xfrm>
                      <a:off x="0" y="0"/>
                      <a:ext cx="9780270" cy="643255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6432" behindDoc="0" locked="0" layoutInCell="1" allowOverlap="1">
            <wp:simplePos x="0" y="0"/>
            <wp:positionH relativeFrom="column">
              <wp:posOffset>-619760</wp:posOffset>
            </wp:positionH>
            <wp:positionV relativeFrom="paragraph">
              <wp:posOffset>92710</wp:posOffset>
            </wp:positionV>
            <wp:extent cx="9193530" cy="5913755"/>
            <wp:effectExtent l="0" t="0" r="11430" b="14605"/>
            <wp:wrapNone/>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2"/>
                    <a:stretch>
                      <a:fillRect/>
                    </a:stretch>
                  </pic:blipFill>
                  <pic:spPr>
                    <a:xfrm>
                      <a:off x="0" y="0"/>
                      <a:ext cx="9193530" cy="5913755"/>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7456" behindDoc="0" locked="0" layoutInCell="1" allowOverlap="1">
            <wp:simplePos x="0" y="0"/>
            <wp:positionH relativeFrom="column">
              <wp:posOffset>104775</wp:posOffset>
            </wp:positionH>
            <wp:positionV relativeFrom="paragraph">
              <wp:posOffset>130810</wp:posOffset>
            </wp:positionV>
            <wp:extent cx="8202930" cy="4591050"/>
            <wp:effectExtent l="0" t="0" r="11430" b="11430"/>
            <wp:wrapNone/>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13"/>
                    <a:stretch>
                      <a:fillRect/>
                    </a:stretch>
                  </pic:blipFill>
                  <pic:spPr>
                    <a:xfrm>
                      <a:off x="0" y="0"/>
                      <a:ext cx="8202930" cy="459105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8480" behindDoc="0" locked="0" layoutInCell="1" allowOverlap="1">
            <wp:simplePos x="0" y="0"/>
            <wp:positionH relativeFrom="column">
              <wp:posOffset>9525</wp:posOffset>
            </wp:positionH>
            <wp:positionV relativeFrom="paragraph">
              <wp:posOffset>43815</wp:posOffset>
            </wp:positionV>
            <wp:extent cx="8543925" cy="3754120"/>
            <wp:effectExtent l="0" t="0" r="5715" b="10160"/>
            <wp:wrapNone/>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14"/>
                    <a:stretch>
                      <a:fillRect/>
                    </a:stretch>
                  </pic:blipFill>
                  <pic:spPr>
                    <a:xfrm>
                      <a:off x="0" y="0"/>
                      <a:ext cx="8543925" cy="375412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69504" behindDoc="0" locked="0" layoutInCell="1" allowOverlap="1">
            <wp:simplePos x="0" y="0"/>
            <wp:positionH relativeFrom="column">
              <wp:posOffset>-1238250</wp:posOffset>
            </wp:positionH>
            <wp:positionV relativeFrom="paragraph">
              <wp:posOffset>266065</wp:posOffset>
            </wp:positionV>
            <wp:extent cx="10472420" cy="3214370"/>
            <wp:effectExtent l="0" t="0" r="12700" b="127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tretch>
                      <a:fillRect/>
                    </a:stretch>
                  </pic:blipFill>
                  <pic:spPr>
                    <a:xfrm>
                      <a:off x="0" y="0"/>
                      <a:ext cx="10472420" cy="3214370"/>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70528" behindDoc="0" locked="0" layoutInCell="1" allowOverlap="1">
            <wp:simplePos x="0" y="0"/>
            <wp:positionH relativeFrom="column">
              <wp:posOffset>266700</wp:posOffset>
            </wp:positionH>
            <wp:positionV relativeFrom="paragraph">
              <wp:posOffset>-1886585</wp:posOffset>
            </wp:positionV>
            <wp:extent cx="7932420" cy="2807335"/>
            <wp:effectExtent l="0" t="0" r="7620" b="12065"/>
            <wp:wrapNone/>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16"/>
                    <a:stretch>
                      <a:fillRect/>
                    </a:stretch>
                  </pic:blipFill>
                  <pic:spPr>
                    <a:xfrm>
                      <a:off x="0" y="0"/>
                      <a:ext cx="7932420" cy="2807335"/>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drawing>
          <wp:anchor distT="0" distB="0" distL="114300" distR="114300" simplePos="0" relativeHeight="251671552" behindDoc="0" locked="0" layoutInCell="1" allowOverlap="1">
            <wp:simplePos x="0" y="0"/>
            <wp:positionH relativeFrom="column">
              <wp:posOffset>-142240</wp:posOffset>
            </wp:positionH>
            <wp:positionV relativeFrom="paragraph">
              <wp:posOffset>7620</wp:posOffset>
            </wp:positionV>
            <wp:extent cx="8188960" cy="3203575"/>
            <wp:effectExtent l="0" t="0" r="10160" b="12065"/>
            <wp:wrapNone/>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17"/>
                    <a:stretch>
                      <a:fillRect/>
                    </a:stretch>
                  </pic:blipFill>
                  <pic:spPr>
                    <a:xfrm>
                      <a:off x="0" y="0"/>
                      <a:ext cx="8188960" cy="3203575"/>
                    </a:xfrm>
                    <a:prstGeom prst="rect">
                      <a:avLst/>
                    </a:prstGeom>
                    <a:noFill/>
                    <a:ln w="9525">
                      <a:noFill/>
                    </a:ln>
                  </pic:spPr>
                </pic:pic>
              </a:graphicData>
            </a:graphic>
          </wp:anchor>
        </w:drawing>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sectPr>
      <w:pgSz w:w="16838" w:h="11906" w:orient="landscape"/>
      <w:pgMar w:top="1531" w:right="2098" w:bottom="1531" w:left="19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3ZjliZGE2MmYwN2JmZjYxMDQzZGFlZDdkZWIyOTcifQ=="/>
  </w:docVars>
  <w:rsids>
    <w:rsidRoot w:val="00FF4625"/>
    <w:rsid w:val="00010251"/>
    <w:rsid w:val="00121E8A"/>
    <w:rsid w:val="00141168"/>
    <w:rsid w:val="001979A0"/>
    <w:rsid w:val="00233591"/>
    <w:rsid w:val="002F2F37"/>
    <w:rsid w:val="003A78E8"/>
    <w:rsid w:val="0048296E"/>
    <w:rsid w:val="005779F8"/>
    <w:rsid w:val="00585C4F"/>
    <w:rsid w:val="005D5788"/>
    <w:rsid w:val="006472E6"/>
    <w:rsid w:val="006A40C5"/>
    <w:rsid w:val="007A1583"/>
    <w:rsid w:val="007D4094"/>
    <w:rsid w:val="007E4221"/>
    <w:rsid w:val="00A57AAD"/>
    <w:rsid w:val="00A91DA1"/>
    <w:rsid w:val="00B17EAE"/>
    <w:rsid w:val="00B961A4"/>
    <w:rsid w:val="00BF63EC"/>
    <w:rsid w:val="00C45A11"/>
    <w:rsid w:val="00C72CCE"/>
    <w:rsid w:val="00D629BC"/>
    <w:rsid w:val="00E22ABD"/>
    <w:rsid w:val="00E36D61"/>
    <w:rsid w:val="00F50374"/>
    <w:rsid w:val="00FF4625"/>
    <w:rsid w:val="00FF4FC6"/>
    <w:rsid w:val="05F85AA8"/>
    <w:rsid w:val="0B6D74E3"/>
    <w:rsid w:val="105C3AB9"/>
    <w:rsid w:val="2CF82D91"/>
    <w:rsid w:val="2E242628"/>
    <w:rsid w:val="32277885"/>
    <w:rsid w:val="35A06DD0"/>
    <w:rsid w:val="35EF436B"/>
    <w:rsid w:val="3AED7880"/>
    <w:rsid w:val="4523536E"/>
    <w:rsid w:val="4DEF2108"/>
    <w:rsid w:val="4F3049FD"/>
    <w:rsid w:val="53FC7C77"/>
    <w:rsid w:val="5F166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emf"/><Relationship Id="rId16" Type="http://schemas.openxmlformats.org/officeDocument/2006/relationships/image" Target="media/image13.emf"/><Relationship Id="rId15" Type="http://schemas.openxmlformats.org/officeDocument/2006/relationships/image" Target="media/image12.emf"/><Relationship Id="rId14" Type="http://schemas.openxmlformats.org/officeDocument/2006/relationships/image" Target="media/image11.emf"/><Relationship Id="rId13" Type="http://schemas.openxmlformats.org/officeDocument/2006/relationships/image" Target="media/image10.emf"/><Relationship Id="rId12" Type="http://schemas.openxmlformats.org/officeDocument/2006/relationships/image" Target="media/image9.emf"/><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1645</Words>
  <Characters>1818</Characters>
  <Lines>16</Lines>
  <Paragraphs>4</Paragraphs>
  <TotalTime>1</TotalTime>
  <ScaleCrop>false</ScaleCrop>
  <LinksUpToDate>false</LinksUpToDate>
  <CharactersWithSpaces>1820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Administrator</cp:lastModifiedBy>
  <dcterms:modified xsi:type="dcterms:W3CDTF">2023-01-07T07:29:51Z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92EAEC6DEBA941C7B34C31EC2A31D44C</vt:lpwstr>
  </property>
</Properties>
</file>