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line="720" w:lineRule="exact"/>
        <w:ind w:firstLine="420"/>
        <w:jc w:val="center"/>
        <w:textAlignment w:val="auto"/>
        <w:rPr>
          <w:rFonts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rPr>
        <w:t>天水市绿色催化专家智库办公室</w:t>
      </w:r>
    </w:p>
    <w:p>
      <w:pPr>
        <w:pStyle w:val="2"/>
        <w:keepNext w:val="0"/>
        <w:keepLines w:val="0"/>
        <w:pageBreakBefore w:val="0"/>
        <w:widowControl/>
        <w:kinsoku/>
        <w:wordWrap/>
        <w:overflowPunct/>
        <w:topLinePunct w:val="0"/>
        <w:autoSpaceDE/>
        <w:autoSpaceDN/>
        <w:bidi w:val="0"/>
        <w:adjustRightInd/>
        <w:snapToGrid/>
        <w:spacing w:line="720" w:lineRule="exact"/>
        <w:ind w:firstLine="420"/>
        <w:jc w:val="center"/>
        <w:textAlignment w:val="auto"/>
        <w:rPr>
          <w:rFonts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rPr>
        <w:t>2019年度</w:t>
      </w:r>
      <w:r>
        <w:rPr>
          <w:rFonts w:hint="eastAsia" w:ascii="方正小标宋简体" w:hAnsi="方正小标宋简体" w:eastAsia="方正小标宋简体" w:cs="方正小标宋简体"/>
          <w:color w:val="333333"/>
          <w:sz w:val="44"/>
          <w:szCs w:val="44"/>
          <w:lang w:eastAsia="zh-CN"/>
        </w:rPr>
        <w:t>部门</w:t>
      </w:r>
      <w:r>
        <w:rPr>
          <w:rFonts w:hint="eastAsia" w:ascii="方正小标宋简体" w:hAnsi="方正小标宋简体" w:eastAsia="方正小标宋简体" w:cs="方正小标宋简体"/>
          <w:color w:val="333333"/>
          <w:sz w:val="44"/>
          <w:szCs w:val="44"/>
        </w:rPr>
        <w:t>决算公开说明</w:t>
      </w:r>
    </w:p>
    <w:p>
      <w:pPr>
        <w:pStyle w:val="2"/>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76" w:lineRule="exact"/>
        <w:ind w:firstLine="640" w:firstLineChars="200"/>
        <w:jc w:val="both"/>
        <w:textAlignment w:val="auto"/>
        <w:rPr>
          <w:rFonts w:hint="default" w:ascii="Times New Roman" w:hAnsi="Times New Roman" w:eastAsia="黑体" w:cs="Times New Roman"/>
          <w:color w:val="333333"/>
          <w:sz w:val="32"/>
          <w:szCs w:val="32"/>
        </w:rPr>
      </w:pPr>
      <w:r>
        <w:rPr>
          <w:rFonts w:hint="default" w:ascii="Times New Roman" w:hAnsi="Times New Roman" w:eastAsia="黑体" w:cs="Times New Roman"/>
          <w:color w:val="333333"/>
          <w:sz w:val="32"/>
          <w:szCs w:val="32"/>
        </w:rPr>
        <w:t>单位基本情况</w:t>
      </w:r>
    </w:p>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76" w:lineRule="exact"/>
        <w:ind w:firstLine="640" w:firstLineChars="200"/>
        <w:jc w:val="both"/>
        <w:textAlignment w:val="auto"/>
        <w:rPr>
          <w:rFonts w:hint="default" w:ascii="Times New Roman" w:hAnsi="Times New Roman" w:eastAsia="楷体_GB2312" w:cs="Times New Roman"/>
          <w:color w:val="333333"/>
          <w:sz w:val="32"/>
          <w:szCs w:val="32"/>
        </w:rPr>
      </w:pPr>
      <w:r>
        <w:rPr>
          <w:rFonts w:hint="default" w:ascii="Times New Roman" w:hAnsi="Times New Roman" w:eastAsia="楷体_GB2312" w:cs="Times New Roman"/>
          <w:color w:val="333333"/>
          <w:sz w:val="32"/>
          <w:szCs w:val="32"/>
        </w:rPr>
        <w:t>（一）主要职能</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贯彻落实中央和省市信息化建设重大决策部署；研究拟定并组织实施全市信息化社会服务、智慧城市建设等大数据发展规划和政策措施，会同有关部门研究组织实施信息产业政策规划；负责统筹全市大数据平台建设，组织制定大数据收集、管理、开发、应用等相关标准规范；负责大数据产业工作的指导、监督和考核；负责全市信息化及智慧城市建设和管理工作；负责县区信息化智慧城市建设总体规划及部门信息化建设规划的审核工作；负责全市信息化及智慧城市建设重大项目审核、资金使用、业务指导和工作考核；负责协调推进全市信息资源整合共享；负责公共信息资源的建设管理，指导协调大数据的开发及推广应用；负责“绿色催化专家智库”的建设服务；负责“绿色及可持续发展麦积山论坛”的组织筹备、管理及服务等工作；负责引进和培养催化行业高级人才；负责开展绿色催化技术及相关行业发展战略研究，为政府决策和企业发展提供咨询和服务。</w:t>
      </w:r>
    </w:p>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楷体_GB2312" w:cs="Times New Roman"/>
          <w:color w:val="333333"/>
          <w:sz w:val="32"/>
          <w:szCs w:val="32"/>
        </w:rPr>
      </w:pPr>
      <w:r>
        <w:rPr>
          <w:rFonts w:hint="default" w:ascii="Times New Roman" w:hAnsi="Times New Roman" w:eastAsia="楷体_GB2312" w:cs="Times New Roman"/>
          <w:color w:val="333333"/>
          <w:sz w:val="32"/>
          <w:szCs w:val="32"/>
          <w:lang w:eastAsia="zh-CN"/>
        </w:rPr>
        <w:t>（二）</w:t>
      </w:r>
      <w:r>
        <w:rPr>
          <w:rFonts w:hint="default" w:ascii="Times New Roman" w:hAnsi="Times New Roman" w:eastAsia="楷体_GB2312" w:cs="Times New Roman"/>
          <w:color w:val="333333"/>
          <w:sz w:val="32"/>
          <w:szCs w:val="32"/>
        </w:rPr>
        <w:t>内设机构</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天水市绿色催化专家智库办公室为市政府直属事业单位，正县级建制，</w:t>
      </w:r>
      <w:r>
        <w:rPr>
          <w:rFonts w:hint="default" w:ascii="Times New Roman" w:hAnsi="Times New Roman" w:eastAsia="仿宋_GB2312" w:cs="Times New Roman"/>
          <w:color w:val="333333"/>
          <w:sz w:val="32"/>
          <w:szCs w:val="32"/>
          <w:lang w:eastAsia="zh-CN"/>
        </w:rPr>
        <w:t>截止</w:t>
      </w:r>
      <w:r>
        <w:rPr>
          <w:rFonts w:hint="default" w:ascii="Times New Roman" w:hAnsi="Times New Roman" w:eastAsia="仿宋_GB2312" w:cs="Times New Roman"/>
          <w:color w:val="333333"/>
          <w:sz w:val="32"/>
          <w:szCs w:val="32"/>
          <w:lang w:val="en-US" w:eastAsia="zh-CN"/>
        </w:rPr>
        <w:t>2019年12月31日</w:t>
      </w:r>
      <w:r>
        <w:rPr>
          <w:rFonts w:hint="default" w:ascii="Times New Roman" w:hAnsi="Times New Roman" w:eastAsia="仿宋_GB2312" w:cs="Times New Roman"/>
          <w:color w:val="333333"/>
          <w:sz w:val="32"/>
          <w:szCs w:val="32"/>
        </w:rPr>
        <w:t>核定财政全额拨款事业编制16名，内设综合科、规划建设科、论坛组织科、产业推进科、数据管理科、成果转化科6个科室。</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color w:val="333333"/>
          <w:sz w:val="32"/>
          <w:szCs w:val="32"/>
        </w:rPr>
        <w:t>（三）人员情况</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天水市绿色催化专家智库办公室为全额拨款事业单位，其中人员编制16人。截止2019年年底共有人员11人，全部为在职人员。</w:t>
      </w:r>
    </w:p>
    <w:p>
      <w:pPr>
        <w:pStyle w:val="2"/>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76" w:lineRule="exact"/>
        <w:ind w:left="0" w:leftChars="0" w:firstLine="640" w:firstLineChars="200"/>
        <w:jc w:val="both"/>
        <w:textAlignment w:val="auto"/>
        <w:rPr>
          <w:rFonts w:hint="default" w:ascii="Times New Roman" w:hAnsi="Times New Roman" w:eastAsia="黑体" w:cs="Times New Roman"/>
          <w:color w:val="333333"/>
          <w:sz w:val="32"/>
          <w:szCs w:val="32"/>
        </w:rPr>
      </w:pPr>
      <w:r>
        <w:rPr>
          <w:rFonts w:hint="default" w:ascii="Times New Roman" w:hAnsi="Times New Roman" w:eastAsia="黑体" w:cs="Times New Roman"/>
          <w:color w:val="333333"/>
          <w:sz w:val="32"/>
          <w:szCs w:val="32"/>
        </w:rPr>
        <w:t>天水市绿色催化专家智库办公室2019年度部门决算情况说明</w:t>
      </w:r>
    </w:p>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76" w:lineRule="exact"/>
        <w:ind w:firstLine="640" w:firstLineChars="200"/>
        <w:jc w:val="both"/>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color w:val="333333"/>
          <w:sz w:val="32"/>
          <w:szCs w:val="32"/>
        </w:rPr>
        <w:t>（一）收入决算情况</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2019年度，本年收入总计为1938.94万元，较2018年度决算数增加1723.97万元，增加了801.96%，</w:t>
      </w:r>
      <w:r>
        <w:rPr>
          <w:rFonts w:hint="default" w:ascii="Times New Roman" w:hAnsi="Times New Roman" w:eastAsia="仿宋_GB2312" w:cs="Times New Roman"/>
          <w:color w:val="333333"/>
          <w:sz w:val="32"/>
          <w:szCs w:val="32"/>
          <w:lang w:eastAsia="zh-CN"/>
        </w:rPr>
        <w:t>增加的</w:t>
      </w:r>
      <w:r>
        <w:rPr>
          <w:rFonts w:hint="default" w:ascii="Times New Roman" w:hAnsi="Times New Roman" w:eastAsia="仿宋_GB2312" w:cs="Times New Roman"/>
          <w:color w:val="333333"/>
          <w:sz w:val="32"/>
          <w:szCs w:val="32"/>
        </w:rPr>
        <w:t>主要原因是人员</w:t>
      </w:r>
      <w:r>
        <w:rPr>
          <w:rFonts w:hint="default" w:ascii="Times New Roman" w:hAnsi="Times New Roman" w:eastAsia="仿宋_GB2312" w:cs="Times New Roman"/>
          <w:color w:val="333333"/>
          <w:sz w:val="32"/>
          <w:szCs w:val="32"/>
          <w:lang w:eastAsia="zh-CN"/>
        </w:rPr>
        <w:t>和工作职能</w:t>
      </w:r>
      <w:r>
        <w:rPr>
          <w:rFonts w:hint="default" w:ascii="Times New Roman" w:hAnsi="Times New Roman" w:eastAsia="仿宋_GB2312" w:cs="Times New Roman"/>
          <w:color w:val="333333"/>
          <w:sz w:val="32"/>
          <w:szCs w:val="32"/>
        </w:rPr>
        <w:t>划转。其中：</w:t>
      </w:r>
    </w:p>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lang w:val="en-US" w:eastAsia="zh-CN"/>
        </w:rPr>
        <w:t>1.</w:t>
      </w:r>
      <w:r>
        <w:rPr>
          <w:rFonts w:hint="default" w:ascii="Times New Roman" w:hAnsi="Times New Roman" w:eastAsia="仿宋_GB2312" w:cs="Times New Roman"/>
          <w:color w:val="333333"/>
          <w:sz w:val="32"/>
          <w:szCs w:val="32"/>
        </w:rPr>
        <w:t>财政拨款收入1938.94万元，为市级财政拨付资金，占收入总计的100%。较2018年度决算数增加1723.97万元，增加801.96%，</w:t>
      </w:r>
      <w:r>
        <w:rPr>
          <w:rFonts w:hint="default" w:ascii="Times New Roman" w:hAnsi="Times New Roman" w:eastAsia="仿宋_GB2312" w:cs="Times New Roman"/>
          <w:color w:val="333333"/>
          <w:sz w:val="32"/>
          <w:szCs w:val="32"/>
          <w:lang w:eastAsia="zh-CN"/>
        </w:rPr>
        <w:t>增加的</w:t>
      </w:r>
      <w:r>
        <w:rPr>
          <w:rFonts w:hint="default" w:ascii="Times New Roman" w:hAnsi="Times New Roman" w:eastAsia="仿宋_GB2312" w:cs="Times New Roman"/>
          <w:color w:val="333333"/>
          <w:sz w:val="32"/>
          <w:szCs w:val="32"/>
        </w:rPr>
        <w:t>主要原因是人员</w:t>
      </w:r>
      <w:r>
        <w:rPr>
          <w:rFonts w:hint="default" w:ascii="Times New Roman" w:hAnsi="Times New Roman" w:eastAsia="仿宋_GB2312" w:cs="Times New Roman"/>
          <w:color w:val="333333"/>
          <w:sz w:val="32"/>
          <w:szCs w:val="32"/>
          <w:lang w:eastAsia="zh-CN"/>
        </w:rPr>
        <w:t>和工作职能</w:t>
      </w:r>
      <w:r>
        <w:rPr>
          <w:rFonts w:hint="default" w:ascii="Times New Roman" w:hAnsi="Times New Roman" w:eastAsia="仿宋_GB2312" w:cs="Times New Roman"/>
          <w:color w:val="333333"/>
          <w:sz w:val="32"/>
          <w:szCs w:val="32"/>
        </w:rPr>
        <w:t>划转。</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2.上级补助收入0万元。较201</w:t>
      </w:r>
      <w:r>
        <w:rPr>
          <w:rFonts w:hint="default" w:ascii="Times New Roman" w:hAnsi="Times New Roman" w:eastAsia="仿宋_GB2312" w:cs="Times New Roman"/>
          <w:b w:val="0"/>
          <w:color w:val="auto"/>
          <w:sz w:val="32"/>
          <w:szCs w:val="32"/>
          <w:lang w:val="en-US" w:eastAsia="zh-CN"/>
        </w:rPr>
        <w:t>8</w:t>
      </w:r>
      <w:r>
        <w:rPr>
          <w:rFonts w:hint="default" w:ascii="Times New Roman" w:hAnsi="Times New Roman" w:eastAsia="仿宋_GB2312" w:cs="Times New Roman"/>
          <w:b w:val="0"/>
          <w:color w:val="auto"/>
          <w:sz w:val="32"/>
          <w:szCs w:val="32"/>
        </w:rPr>
        <w:t>年度决算数增加（或减少）0万元，增长（或下降）0%。</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3.事业收入0万元，为事业单位开展专业业务活动及辅助活动所取得的收入。较201</w:t>
      </w:r>
      <w:r>
        <w:rPr>
          <w:rFonts w:hint="default" w:ascii="Times New Roman" w:hAnsi="Times New Roman" w:eastAsia="仿宋_GB2312" w:cs="Times New Roman"/>
          <w:b w:val="0"/>
          <w:color w:val="auto"/>
          <w:sz w:val="32"/>
          <w:szCs w:val="32"/>
          <w:lang w:val="en-US" w:eastAsia="zh-CN"/>
        </w:rPr>
        <w:t>8</w:t>
      </w:r>
      <w:r>
        <w:rPr>
          <w:rFonts w:hint="default" w:ascii="Times New Roman" w:hAnsi="Times New Roman" w:eastAsia="仿宋_GB2312" w:cs="Times New Roman"/>
          <w:b w:val="0"/>
          <w:color w:val="auto"/>
          <w:sz w:val="32"/>
          <w:szCs w:val="32"/>
        </w:rPr>
        <w:t>年度决算数增加（或减少）0万元，增长（或下降）0%。</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4.其他收入0万元，为预算单位在“财政拨款”“事业收入”“经营收入”之外取得的收入，主要是公费医疗拨款、资产出租收入、投资收益以及存款利息等。较201</w:t>
      </w:r>
      <w:r>
        <w:rPr>
          <w:rFonts w:hint="default" w:ascii="Times New Roman" w:hAnsi="Times New Roman" w:eastAsia="仿宋_GB2312" w:cs="Times New Roman"/>
          <w:b w:val="0"/>
          <w:color w:val="auto"/>
          <w:sz w:val="32"/>
          <w:szCs w:val="32"/>
          <w:lang w:val="en-US" w:eastAsia="zh-CN"/>
        </w:rPr>
        <w:t>8</w:t>
      </w:r>
      <w:r>
        <w:rPr>
          <w:rFonts w:hint="default" w:ascii="Times New Roman" w:hAnsi="Times New Roman" w:eastAsia="仿宋_GB2312" w:cs="Times New Roman"/>
          <w:b w:val="0"/>
          <w:color w:val="auto"/>
          <w:sz w:val="32"/>
          <w:szCs w:val="32"/>
        </w:rPr>
        <w:t>年度决算数增加（或减少）0万元，增长（或下降）0%。</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5.用事业基金弥补收支差额0万元，为事业单位在当年的“财政拨款”“事业收入”“事业单位经营收入”和“其他收入”不足以安排当年支出的情况下，使用以前年度积累的事业基金（即事业单位以前各年度收支相抵后按国家规定提取、用于弥补以后年度收支差额的基金）弥补当年收支缺口的资金。较201</w:t>
      </w:r>
      <w:r>
        <w:rPr>
          <w:rFonts w:hint="default" w:ascii="Times New Roman" w:hAnsi="Times New Roman" w:eastAsia="仿宋_GB2312" w:cs="Times New Roman"/>
          <w:b w:val="0"/>
          <w:color w:val="auto"/>
          <w:sz w:val="32"/>
          <w:szCs w:val="32"/>
          <w:lang w:val="en-US" w:eastAsia="zh-CN"/>
        </w:rPr>
        <w:t>8</w:t>
      </w:r>
      <w:r>
        <w:rPr>
          <w:rFonts w:hint="default" w:ascii="Times New Roman" w:hAnsi="Times New Roman" w:eastAsia="仿宋_GB2312" w:cs="Times New Roman"/>
          <w:b w:val="0"/>
          <w:color w:val="auto"/>
          <w:sz w:val="32"/>
          <w:szCs w:val="32"/>
        </w:rPr>
        <w:t>年度决算增加（或减少）0万元，增长（或下降）0%。</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b w:val="0"/>
          <w:color w:val="auto"/>
          <w:sz w:val="32"/>
          <w:szCs w:val="32"/>
        </w:rPr>
      </w:pPr>
      <w:r>
        <w:rPr>
          <w:rFonts w:hint="default" w:ascii="Times New Roman" w:hAnsi="Times New Roman" w:eastAsia="仿宋_GB2312" w:cs="Times New Roman"/>
          <w:b w:val="0"/>
          <w:color w:val="auto"/>
          <w:sz w:val="32"/>
          <w:szCs w:val="32"/>
        </w:rPr>
        <w:t>6.上年结转和结余0万元，为以前年度支出预算因客观条件变化未执行</w:t>
      </w:r>
      <w:r>
        <w:rPr>
          <w:rFonts w:hint="default" w:ascii="Times New Roman" w:hAnsi="Times New Roman" w:eastAsia="仿宋_GB2312" w:cs="Times New Roman"/>
          <w:b w:val="0"/>
          <w:color w:val="auto"/>
          <w:sz w:val="32"/>
          <w:szCs w:val="32"/>
          <w:lang w:eastAsia="zh-CN"/>
        </w:rPr>
        <w:t>完</w:t>
      </w:r>
      <w:r>
        <w:rPr>
          <w:rFonts w:hint="default" w:ascii="Times New Roman" w:hAnsi="Times New Roman" w:eastAsia="仿宋_GB2312" w:cs="Times New Roman"/>
          <w:b w:val="0"/>
          <w:color w:val="auto"/>
          <w:sz w:val="32"/>
          <w:szCs w:val="32"/>
        </w:rPr>
        <w:t>、结转到当年或以后年度按有关规定继续使用的资金，既包括财政拨款结转和结余。较201</w:t>
      </w:r>
      <w:r>
        <w:rPr>
          <w:rFonts w:hint="default" w:ascii="Times New Roman" w:hAnsi="Times New Roman" w:eastAsia="仿宋_GB2312" w:cs="Times New Roman"/>
          <w:b w:val="0"/>
          <w:color w:val="auto"/>
          <w:sz w:val="32"/>
          <w:szCs w:val="32"/>
          <w:lang w:val="en-US" w:eastAsia="zh-CN"/>
        </w:rPr>
        <w:t>8</w:t>
      </w:r>
      <w:r>
        <w:rPr>
          <w:rFonts w:hint="default" w:ascii="Times New Roman" w:hAnsi="Times New Roman" w:eastAsia="仿宋_GB2312" w:cs="Times New Roman"/>
          <w:b w:val="0"/>
          <w:color w:val="auto"/>
          <w:sz w:val="32"/>
          <w:szCs w:val="32"/>
        </w:rPr>
        <w:t>年度决算增加0万元。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val="0"/>
          <w:color w:val="auto"/>
          <w:sz w:val="32"/>
          <w:szCs w:val="32"/>
          <w:lang w:eastAsia="zh-CN"/>
        </w:rPr>
        <w:t>（二）</w:t>
      </w:r>
      <w:r>
        <w:rPr>
          <w:rFonts w:hint="default" w:ascii="Times New Roman" w:hAnsi="Times New Roman" w:eastAsia="楷体_GB2312" w:cs="Times New Roman"/>
          <w:color w:val="333333"/>
          <w:sz w:val="32"/>
          <w:szCs w:val="32"/>
        </w:rPr>
        <w:t>支出决算情况</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2019年度，天水市绿色催化专家智库办公室支出</w:t>
      </w:r>
      <w:r>
        <w:rPr>
          <w:rFonts w:hint="default" w:ascii="Times New Roman" w:hAnsi="Times New Roman" w:eastAsia="仿宋_GB2312" w:cs="Times New Roman"/>
          <w:color w:val="333333"/>
          <w:sz w:val="32"/>
          <w:szCs w:val="32"/>
          <w:lang w:eastAsia="zh-CN"/>
        </w:rPr>
        <w:t>为</w:t>
      </w:r>
      <w:r>
        <w:rPr>
          <w:rFonts w:hint="default" w:ascii="Times New Roman" w:hAnsi="Times New Roman" w:eastAsia="仿宋_GB2312" w:cs="Times New Roman"/>
          <w:color w:val="333333"/>
          <w:sz w:val="32"/>
          <w:szCs w:val="32"/>
        </w:rPr>
        <w:t>1938.94万元，较2018年度决算数增加1723.97万元，增加801.96%。其中：</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基本支出268.94万元，占全年总支出的13.87%，较2018年度的决算数增加246.48万元，增加1097.42%，</w:t>
      </w:r>
      <w:r>
        <w:rPr>
          <w:rFonts w:hint="default" w:ascii="Times New Roman" w:hAnsi="Times New Roman" w:eastAsia="仿宋_GB2312" w:cs="Times New Roman"/>
          <w:color w:val="333333"/>
          <w:sz w:val="32"/>
          <w:szCs w:val="32"/>
          <w:lang w:eastAsia="zh-CN"/>
        </w:rPr>
        <w:t>增加的</w:t>
      </w:r>
      <w:r>
        <w:rPr>
          <w:rFonts w:hint="default" w:ascii="Times New Roman" w:hAnsi="Times New Roman" w:eastAsia="仿宋_GB2312" w:cs="Times New Roman"/>
          <w:color w:val="333333"/>
          <w:sz w:val="32"/>
          <w:szCs w:val="32"/>
        </w:rPr>
        <w:t>主要原因是人员划转。</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项目支出1670万元，占全年总支出的86.13%，较2018年度的决算数增加1477.49万元，增加767.49%，</w:t>
      </w:r>
      <w:r>
        <w:rPr>
          <w:rFonts w:hint="default" w:ascii="Times New Roman" w:hAnsi="Times New Roman" w:eastAsia="仿宋_GB2312" w:cs="Times New Roman"/>
          <w:color w:val="333333"/>
          <w:sz w:val="32"/>
          <w:szCs w:val="32"/>
          <w:lang w:eastAsia="zh-CN"/>
        </w:rPr>
        <w:t>增加的</w:t>
      </w:r>
      <w:r>
        <w:rPr>
          <w:rFonts w:hint="default" w:ascii="Times New Roman" w:hAnsi="Times New Roman" w:eastAsia="仿宋_GB2312" w:cs="Times New Roman"/>
          <w:color w:val="333333"/>
          <w:sz w:val="32"/>
          <w:szCs w:val="32"/>
        </w:rPr>
        <w:t>主要</w:t>
      </w:r>
      <w:r>
        <w:rPr>
          <w:rFonts w:hint="default" w:ascii="Times New Roman" w:hAnsi="Times New Roman" w:eastAsia="仿宋_GB2312" w:cs="Times New Roman"/>
          <w:color w:val="333333"/>
          <w:sz w:val="32"/>
          <w:szCs w:val="32"/>
          <w:lang w:eastAsia="zh-CN"/>
        </w:rPr>
        <w:t>原因</w:t>
      </w:r>
      <w:r>
        <w:rPr>
          <w:rFonts w:hint="default" w:ascii="Times New Roman" w:hAnsi="Times New Roman" w:eastAsia="仿宋_GB2312" w:cs="Times New Roman"/>
          <w:color w:val="333333"/>
          <w:sz w:val="32"/>
          <w:szCs w:val="32"/>
        </w:rPr>
        <w:t>是</w:t>
      </w:r>
      <w:r>
        <w:rPr>
          <w:rFonts w:hint="default" w:ascii="Times New Roman" w:hAnsi="Times New Roman" w:eastAsia="仿宋_GB2312" w:cs="Times New Roman"/>
          <w:color w:val="333333"/>
          <w:sz w:val="32"/>
          <w:szCs w:val="32"/>
          <w:lang w:eastAsia="zh-CN"/>
        </w:rPr>
        <w:t>工作职能划转</w:t>
      </w:r>
      <w:r>
        <w:rPr>
          <w:rFonts w:hint="default" w:ascii="Times New Roman" w:hAnsi="Times New Roman" w:eastAsia="仿宋_GB2312" w:cs="Times New Roman"/>
          <w:color w:val="333333"/>
          <w:sz w:val="32"/>
          <w:szCs w:val="32"/>
        </w:rPr>
        <w:t>。</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42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color w:val="333333"/>
          <w:sz w:val="32"/>
          <w:szCs w:val="32"/>
        </w:rPr>
        <w:t>（三）财政拨款收入决算情况</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2019年度，天水市绿色催化专家智库办公室财政拨款收入总计1938.94万元，较2018年度决算数增加1723.97万元，增加801.96%，</w:t>
      </w:r>
      <w:r>
        <w:rPr>
          <w:rFonts w:hint="default" w:ascii="Times New Roman" w:hAnsi="Times New Roman" w:eastAsia="仿宋_GB2312" w:cs="Times New Roman"/>
          <w:color w:val="333333"/>
          <w:sz w:val="32"/>
          <w:szCs w:val="32"/>
          <w:lang w:eastAsia="zh-CN"/>
        </w:rPr>
        <w:t>增加的</w:t>
      </w:r>
      <w:r>
        <w:rPr>
          <w:rFonts w:hint="default" w:ascii="Times New Roman" w:hAnsi="Times New Roman" w:eastAsia="仿宋_GB2312" w:cs="Times New Roman"/>
          <w:color w:val="333333"/>
          <w:sz w:val="32"/>
          <w:szCs w:val="32"/>
        </w:rPr>
        <w:t>主要原因是人员划转。其中：一般公共预算财政拨款收入268.94万元，与上年度相比增加53.97万元，增加25.11%，</w:t>
      </w:r>
      <w:r>
        <w:rPr>
          <w:rFonts w:hint="default" w:ascii="Times New Roman" w:hAnsi="Times New Roman" w:eastAsia="仿宋_GB2312" w:cs="Times New Roman"/>
          <w:color w:val="333333"/>
          <w:sz w:val="32"/>
          <w:szCs w:val="32"/>
          <w:lang w:eastAsia="zh-CN"/>
        </w:rPr>
        <w:t>增加的</w:t>
      </w:r>
      <w:r>
        <w:rPr>
          <w:rFonts w:hint="default" w:ascii="Times New Roman" w:hAnsi="Times New Roman" w:eastAsia="仿宋_GB2312" w:cs="Times New Roman"/>
          <w:color w:val="333333"/>
          <w:sz w:val="32"/>
          <w:szCs w:val="32"/>
        </w:rPr>
        <w:t>主要原因是人员划转；政府性基金预算财政拨款收入1670万元，与上年相比增加1670万元</w:t>
      </w:r>
      <w:r>
        <w:rPr>
          <w:rFonts w:hint="default" w:ascii="Times New Roman" w:hAnsi="Times New Roman" w:eastAsia="仿宋_GB2312" w:cs="Times New Roman"/>
          <w:color w:val="333333"/>
          <w:sz w:val="32"/>
          <w:szCs w:val="32"/>
          <w:lang w:eastAsia="zh-CN"/>
        </w:rPr>
        <w:t>，增加的原因是工作职能划转</w:t>
      </w:r>
      <w:r>
        <w:rPr>
          <w:rFonts w:hint="default" w:ascii="Times New Roman" w:hAnsi="Times New Roman" w:eastAsia="仿宋_GB2312" w:cs="Times New Roman"/>
          <w:color w:val="333333"/>
          <w:sz w:val="32"/>
          <w:szCs w:val="32"/>
        </w:rPr>
        <w:t>。</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jc w:val="both"/>
        <w:textAlignment w:val="auto"/>
        <w:rPr>
          <w:rFonts w:hint="default" w:ascii="Times New Roman" w:hAnsi="Times New Roman" w:eastAsia="黑体" w:cs="Times New Roman"/>
          <w:color w:val="333333"/>
          <w:sz w:val="32"/>
          <w:szCs w:val="32"/>
        </w:rPr>
      </w:pPr>
      <w:r>
        <w:rPr>
          <w:rFonts w:hint="default" w:ascii="Times New Roman" w:hAnsi="Times New Roman" w:eastAsia="黑体" w:cs="Times New Roman"/>
          <w:color w:val="333333"/>
          <w:sz w:val="32"/>
          <w:szCs w:val="32"/>
          <w:lang w:eastAsia="zh-CN"/>
        </w:rPr>
        <w:t>三、</w:t>
      </w:r>
      <w:r>
        <w:rPr>
          <w:rFonts w:hint="default" w:ascii="Times New Roman" w:hAnsi="Times New Roman" w:eastAsia="黑体" w:cs="Times New Roman"/>
          <w:color w:val="333333"/>
          <w:sz w:val="32"/>
          <w:szCs w:val="32"/>
        </w:rPr>
        <w:t>一般公共预算财政拨款支出决算情况</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2019年度，天水市绿色催化专家智库办公室一般公共预算财政拨款支出总计268.94万元，与上年的决算数相比</w:t>
      </w:r>
      <w:r>
        <w:rPr>
          <w:rFonts w:hint="default" w:ascii="Times New Roman" w:hAnsi="Times New Roman" w:eastAsia="仿宋_GB2312" w:cs="Times New Roman"/>
          <w:color w:val="333333"/>
          <w:sz w:val="32"/>
          <w:szCs w:val="32"/>
          <w:lang w:eastAsia="zh-CN"/>
        </w:rPr>
        <w:t>增加</w:t>
      </w:r>
      <w:r>
        <w:rPr>
          <w:rFonts w:hint="default" w:ascii="Times New Roman" w:hAnsi="Times New Roman" w:eastAsia="仿宋_GB2312" w:cs="Times New Roman"/>
          <w:color w:val="333333"/>
          <w:sz w:val="32"/>
          <w:szCs w:val="32"/>
          <w:lang w:val="en-US" w:eastAsia="zh-CN"/>
        </w:rPr>
        <w:t>53.97</w:t>
      </w:r>
      <w:r>
        <w:rPr>
          <w:rFonts w:hint="default" w:ascii="Times New Roman" w:hAnsi="Times New Roman" w:eastAsia="仿宋_GB2312" w:cs="Times New Roman"/>
          <w:color w:val="333333"/>
          <w:sz w:val="32"/>
          <w:szCs w:val="32"/>
        </w:rPr>
        <w:t>万元，增加</w:t>
      </w:r>
      <w:r>
        <w:rPr>
          <w:rFonts w:hint="default" w:ascii="Times New Roman" w:hAnsi="Times New Roman" w:eastAsia="仿宋_GB2312" w:cs="Times New Roman"/>
          <w:color w:val="333333"/>
          <w:sz w:val="32"/>
          <w:szCs w:val="32"/>
          <w:lang w:val="en-US" w:eastAsia="zh-CN"/>
        </w:rPr>
        <w:t>25.11</w:t>
      </w:r>
      <w:r>
        <w:rPr>
          <w:rFonts w:hint="default" w:ascii="Times New Roman" w:hAnsi="Times New Roman" w:eastAsia="仿宋_GB2312" w:cs="Times New Roman"/>
          <w:color w:val="333333"/>
          <w:sz w:val="32"/>
          <w:szCs w:val="32"/>
        </w:rPr>
        <w:t>%；完成年初预算</w:t>
      </w:r>
      <w:r>
        <w:rPr>
          <w:rFonts w:hint="default" w:ascii="Times New Roman" w:hAnsi="Times New Roman" w:eastAsia="仿宋_GB2312" w:cs="Times New Roman"/>
          <w:color w:val="333333"/>
          <w:sz w:val="32"/>
          <w:szCs w:val="32"/>
          <w:lang w:eastAsia="zh-CN"/>
        </w:rPr>
        <w:t>的</w:t>
      </w:r>
      <w:r>
        <w:rPr>
          <w:rFonts w:hint="default" w:ascii="Times New Roman" w:hAnsi="Times New Roman" w:eastAsia="仿宋_GB2312" w:cs="Times New Roman"/>
          <w:color w:val="333333"/>
          <w:sz w:val="32"/>
          <w:szCs w:val="32"/>
          <w:lang w:val="en-US" w:eastAsia="zh-CN"/>
        </w:rPr>
        <w:t>111.49</w:t>
      </w:r>
      <w:r>
        <w:rPr>
          <w:rFonts w:hint="default" w:ascii="Times New Roman" w:hAnsi="Times New Roman" w:eastAsia="仿宋_GB2312" w:cs="Times New Roman"/>
          <w:color w:val="333333"/>
          <w:sz w:val="32"/>
          <w:szCs w:val="32"/>
        </w:rPr>
        <w:t>%，决算数</w:t>
      </w:r>
      <w:r>
        <w:rPr>
          <w:rFonts w:hint="default" w:ascii="Times New Roman" w:hAnsi="Times New Roman" w:eastAsia="仿宋_GB2312" w:cs="Times New Roman"/>
          <w:color w:val="333333"/>
          <w:sz w:val="32"/>
          <w:szCs w:val="32"/>
          <w:lang w:eastAsia="zh-CN"/>
        </w:rPr>
        <w:t>大于</w:t>
      </w:r>
      <w:r>
        <w:rPr>
          <w:rFonts w:hint="default" w:ascii="Times New Roman" w:hAnsi="Times New Roman" w:eastAsia="仿宋_GB2312" w:cs="Times New Roman"/>
          <w:color w:val="333333"/>
          <w:sz w:val="32"/>
          <w:szCs w:val="32"/>
        </w:rPr>
        <w:t>预算数的主要原因</w:t>
      </w:r>
      <w:r>
        <w:rPr>
          <w:rFonts w:hint="default" w:ascii="Times New Roman" w:hAnsi="Times New Roman" w:eastAsia="仿宋_GB2312" w:cs="Times New Roman"/>
          <w:color w:val="333333"/>
          <w:sz w:val="32"/>
          <w:szCs w:val="32"/>
          <w:lang w:eastAsia="zh-CN"/>
        </w:rPr>
        <w:t>是人员和工作</w:t>
      </w:r>
      <w:r>
        <w:rPr>
          <w:rFonts w:hint="default" w:ascii="Times New Roman" w:hAnsi="Times New Roman" w:eastAsia="仿宋_GB2312" w:cs="Times New Roman"/>
          <w:color w:val="333333"/>
          <w:sz w:val="32"/>
          <w:szCs w:val="32"/>
        </w:rPr>
        <w:t>职能划转，一般公共预算财政拨款支出较上年</w:t>
      </w:r>
      <w:r>
        <w:rPr>
          <w:rFonts w:hint="default" w:ascii="Times New Roman" w:hAnsi="Times New Roman" w:eastAsia="仿宋_GB2312" w:cs="Times New Roman"/>
          <w:color w:val="333333"/>
          <w:sz w:val="32"/>
          <w:szCs w:val="32"/>
          <w:lang w:eastAsia="zh-CN"/>
        </w:rPr>
        <w:t>增加</w:t>
      </w:r>
      <w:r>
        <w:rPr>
          <w:rFonts w:hint="default" w:ascii="Times New Roman" w:hAnsi="Times New Roman" w:eastAsia="仿宋_GB2312" w:cs="Times New Roman"/>
          <w:color w:val="333333"/>
          <w:sz w:val="32"/>
          <w:szCs w:val="32"/>
        </w:rPr>
        <w:t>。其中：</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lang w:val="en-US" w:eastAsia="zh-CN"/>
        </w:rPr>
        <w:t>1.</w:t>
      </w:r>
      <w:r>
        <w:rPr>
          <w:rFonts w:hint="default" w:ascii="Times New Roman" w:hAnsi="Times New Roman" w:eastAsia="仿宋_GB2312" w:cs="Times New Roman"/>
          <w:color w:val="333333"/>
          <w:sz w:val="32"/>
          <w:szCs w:val="32"/>
        </w:rPr>
        <w:t>一般公共服务支出235.55万元，占全年一般公共预算财政拨款支出87.58%，完成年初预算</w:t>
      </w:r>
      <w:r>
        <w:rPr>
          <w:rFonts w:hint="default" w:ascii="Times New Roman" w:hAnsi="Times New Roman" w:eastAsia="仿宋_GB2312" w:cs="Times New Roman"/>
          <w:color w:val="333333"/>
          <w:sz w:val="32"/>
          <w:szCs w:val="32"/>
          <w:lang w:val="en-US" w:eastAsia="zh-CN"/>
        </w:rPr>
        <w:t>97.65</w:t>
      </w:r>
      <w:r>
        <w:rPr>
          <w:rFonts w:hint="default" w:ascii="Times New Roman" w:hAnsi="Times New Roman" w:eastAsia="仿宋_GB2312" w:cs="Times New Roman"/>
          <w:color w:val="333333"/>
          <w:sz w:val="32"/>
          <w:szCs w:val="32"/>
        </w:rPr>
        <w:t>%，主要用于人员工资、公用经费等支出，决算数</w:t>
      </w:r>
      <w:r>
        <w:rPr>
          <w:rFonts w:hint="default" w:ascii="Times New Roman" w:hAnsi="Times New Roman" w:eastAsia="仿宋_GB2312" w:cs="Times New Roman"/>
          <w:color w:val="333333"/>
          <w:sz w:val="32"/>
          <w:szCs w:val="32"/>
          <w:lang w:eastAsia="zh-CN"/>
        </w:rPr>
        <w:t>大于</w:t>
      </w:r>
      <w:r>
        <w:rPr>
          <w:rFonts w:hint="default" w:ascii="Times New Roman" w:hAnsi="Times New Roman" w:eastAsia="仿宋_GB2312" w:cs="Times New Roman"/>
          <w:color w:val="333333"/>
          <w:sz w:val="32"/>
          <w:szCs w:val="32"/>
        </w:rPr>
        <w:t>预算数的主要原因</w:t>
      </w:r>
      <w:r>
        <w:rPr>
          <w:rFonts w:hint="default" w:ascii="Times New Roman" w:hAnsi="Times New Roman" w:eastAsia="仿宋_GB2312" w:cs="Times New Roman"/>
          <w:color w:val="333333"/>
          <w:sz w:val="32"/>
          <w:szCs w:val="32"/>
          <w:lang w:eastAsia="zh-CN"/>
        </w:rPr>
        <w:t>是人员和工作</w:t>
      </w:r>
      <w:r>
        <w:rPr>
          <w:rFonts w:hint="default" w:ascii="Times New Roman" w:hAnsi="Times New Roman" w:eastAsia="仿宋_GB2312" w:cs="Times New Roman"/>
          <w:color w:val="333333"/>
          <w:sz w:val="32"/>
          <w:szCs w:val="32"/>
        </w:rPr>
        <w:t>职能划转，一般公共服务支出较上年</w:t>
      </w:r>
      <w:r>
        <w:rPr>
          <w:rFonts w:hint="default" w:ascii="Times New Roman" w:hAnsi="Times New Roman" w:eastAsia="仿宋_GB2312" w:cs="Times New Roman"/>
          <w:color w:val="333333"/>
          <w:sz w:val="32"/>
          <w:szCs w:val="32"/>
          <w:lang w:eastAsia="zh-CN"/>
        </w:rPr>
        <w:t>增加</w:t>
      </w:r>
      <w:r>
        <w:rPr>
          <w:rFonts w:hint="default" w:ascii="Times New Roman" w:hAnsi="Times New Roman" w:eastAsia="仿宋_GB2312" w:cs="Times New Roman"/>
          <w:color w:val="333333"/>
          <w:sz w:val="32"/>
          <w:szCs w:val="32"/>
        </w:rPr>
        <w:t>。</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2.科学技术支出33.38万元，占全年一般公共预算财政拨款支出12.4</w:t>
      </w:r>
      <w:r>
        <w:rPr>
          <w:rFonts w:hint="default" w:ascii="Times New Roman" w:hAnsi="Times New Roman" w:eastAsia="仿宋_GB2312" w:cs="Times New Roman"/>
          <w:color w:val="333333"/>
          <w:sz w:val="32"/>
          <w:szCs w:val="32"/>
          <w:lang w:val="en-US" w:eastAsia="zh-CN"/>
        </w:rPr>
        <w:t>2</w:t>
      </w:r>
      <w:r>
        <w:rPr>
          <w:rFonts w:hint="default" w:ascii="Times New Roman" w:hAnsi="Times New Roman" w:eastAsia="仿宋_GB2312" w:cs="Times New Roman"/>
          <w:color w:val="333333"/>
          <w:sz w:val="32"/>
          <w:szCs w:val="32"/>
        </w:rPr>
        <w:t>%，完成年初预算数的</w:t>
      </w:r>
      <w:r>
        <w:rPr>
          <w:rFonts w:hint="default" w:ascii="Times New Roman" w:hAnsi="Times New Roman" w:eastAsia="仿宋_GB2312" w:cs="Times New Roman"/>
          <w:color w:val="333333"/>
          <w:sz w:val="32"/>
          <w:szCs w:val="32"/>
          <w:lang w:val="en-US" w:eastAsia="zh-CN"/>
        </w:rPr>
        <w:t>13.84</w:t>
      </w:r>
      <w:r>
        <w:rPr>
          <w:rFonts w:hint="default" w:ascii="Times New Roman" w:hAnsi="Times New Roman" w:eastAsia="仿宋_GB2312" w:cs="Times New Roman"/>
          <w:color w:val="333333"/>
          <w:sz w:val="32"/>
          <w:szCs w:val="32"/>
        </w:rPr>
        <w:t>%。</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jc w:val="both"/>
        <w:textAlignment w:val="auto"/>
        <w:rPr>
          <w:rFonts w:hint="default" w:ascii="Times New Roman" w:hAnsi="Times New Roman" w:eastAsia="黑体" w:cs="Times New Roman"/>
          <w:color w:val="333333"/>
          <w:sz w:val="32"/>
          <w:szCs w:val="32"/>
        </w:rPr>
      </w:pPr>
      <w:r>
        <w:rPr>
          <w:rFonts w:hint="default" w:ascii="Times New Roman" w:hAnsi="Times New Roman" w:eastAsia="黑体" w:cs="Times New Roman"/>
          <w:color w:val="333333"/>
          <w:sz w:val="32"/>
          <w:szCs w:val="32"/>
          <w:lang w:eastAsia="zh-CN"/>
        </w:rPr>
        <w:t>四、</w:t>
      </w:r>
      <w:r>
        <w:rPr>
          <w:rFonts w:hint="default" w:ascii="Times New Roman" w:hAnsi="Times New Roman" w:eastAsia="黑体" w:cs="Times New Roman"/>
          <w:color w:val="333333"/>
          <w:sz w:val="32"/>
          <w:szCs w:val="32"/>
        </w:rPr>
        <w:t>一般公共预算财政拨款基本支出情况说明</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天水市绿色催化专家智库办公室2019年度一般公共预算财政拨款基本支出268.94万元，其中：</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lang w:val="en-US" w:eastAsia="zh-CN"/>
        </w:rPr>
        <w:t>1.</w:t>
      </w:r>
      <w:r>
        <w:rPr>
          <w:rFonts w:hint="default" w:ascii="Times New Roman" w:hAnsi="Times New Roman" w:eastAsia="仿宋_GB2312" w:cs="Times New Roman"/>
          <w:color w:val="333333"/>
          <w:sz w:val="32"/>
          <w:szCs w:val="32"/>
        </w:rPr>
        <w:t>人员经费84.55万元，较上年的决算数增加62.09万元，增加的主要原因是人员划转。人员经费用途主要包括：基本工资、津贴补贴、</w:t>
      </w:r>
      <w:r>
        <w:rPr>
          <w:rFonts w:hint="default" w:ascii="Times New Roman" w:hAnsi="Times New Roman" w:eastAsia="仿宋_GB2312" w:cs="Times New Roman"/>
          <w:color w:val="333333"/>
          <w:sz w:val="32"/>
          <w:szCs w:val="32"/>
          <w:lang w:eastAsia="zh-CN"/>
        </w:rPr>
        <w:t>奖金、</w:t>
      </w:r>
      <w:r>
        <w:rPr>
          <w:rFonts w:hint="default" w:ascii="Times New Roman" w:hAnsi="Times New Roman" w:eastAsia="仿宋_GB2312" w:cs="Times New Roman"/>
          <w:color w:val="333333"/>
          <w:sz w:val="32"/>
          <w:szCs w:val="32"/>
        </w:rPr>
        <w:t>奖励金。</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lang w:val="en-US" w:eastAsia="zh-CN"/>
        </w:rPr>
        <w:t>2.</w:t>
      </w:r>
      <w:r>
        <w:rPr>
          <w:rFonts w:hint="default" w:ascii="Times New Roman" w:hAnsi="Times New Roman" w:eastAsia="仿宋_GB2312" w:cs="Times New Roman"/>
          <w:color w:val="333333"/>
          <w:sz w:val="32"/>
          <w:szCs w:val="32"/>
        </w:rPr>
        <w:t>日常公用经费184.39万元，较上年的决算数增加184.39万元，增加的主要原因是人员划转。公用经费用途主要包括：办公费、印刷费、</w:t>
      </w:r>
      <w:r>
        <w:rPr>
          <w:rFonts w:hint="default" w:ascii="Times New Roman" w:hAnsi="Times New Roman" w:eastAsia="仿宋_GB2312" w:cs="Times New Roman"/>
          <w:color w:val="333333"/>
          <w:sz w:val="32"/>
          <w:szCs w:val="32"/>
          <w:lang w:eastAsia="zh-CN"/>
        </w:rPr>
        <w:t>咨询费、</w:t>
      </w:r>
      <w:r>
        <w:rPr>
          <w:rFonts w:hint="default" w:ascii="Times New Roman" w:hAnsi="Times New Roman" w:eastAsia="仿宋_GB2312" w:cs="Times New Roman"/>
          <w:color w:val="333333"/>
          <w:sz w:val="32"/>
          <w:szCs w:val="32"/>
        </w:rPr>
        <w:t>水费、邮电费、取暖费、差旅费、培训费、劳务费、委托业务费、工会经费、福利费</w:t>
      </w:r>
      <w:r>
        <w:rPr>
          <w:rFonts w:hint="default" w:ascii="Times New Roman" w:hAnsi="Times New Roman" w:eastAsia="仿宋_GB2312" w:cs="Times New Roman"/>
          <w:color w:val="333333"/>
          <w:sz w:val="32"/>
          <w:szCs w:val="32"/>
          <w:lang w:eastAsia="zh-CN"/>
        </w:rPr>
        <w:t>、办公设备购置费</w:t>
      </w:r>
      <w:r>
        <w:rPr>
          <w:rFonts w:hint="default" w:ascii="Times New Roman" w:hAnsi="Times New Roman" w:eastAsia="仿宋_GB2312" w:cs="Times New Roman"/>
          <w:color w:val="333333"/>
          <w:sz w:val="32"/>
          <w:szCs w:val="32"/>
        </w:rPr>
        <w:t>。</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jc w:val="both"/>
        <w:textAlignment w:val="auto"/>
        <w:rPr>
          <w:rFonts w:hint="default" w:ascii="Times New Roman" w:hAnsi="Times New Roman" w:eastAsia="黑体" w:cs="Times New Roman"/>
          <w:color w:val="333333"/>
          <w:sz w:val="32"/>
          <w:szCs w:val="32"/>
        </w:rPr>
      </w:pPr>
      <w:r>
        <w:rPr>
          <w:rFonts w:hint="default" w:ascii="Times New Roman" w:hAnsi="Times New Roman" w:eastAsia="黑体" w:cs="Times New Roman"/>
          <w:color w:val="333333"/>
          <w:sz w:val="32"/>
          <w:szCs w:val="32"/>
          <w:lang w:eastAsia="zh-CN"/>
        </w:rPr>
        <w:t>五、</w:t>
      </w:r>
      <w:r>
        <w:rPr>
          <w:rFonts w:hint="default" w:ascii="Times New Roman" w:hAnsi="Times New Roman" w:eastAsia="黑体" w:cs="Times New Roman"/>
          <w:color w:val="333333"/>
          <w:sz w:val="32"/>
          <w:szCs w:val="32"/>
        </w:rPr>
        <w:t>2019年“三公”经费支出决算说明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201</w:t>
      </w:r>
      <w:r>
        <w:rPr>
          <w:rFonts w:hint="default" w:ascii="Times New Roman" w:hAnsi="Times New Roman" w:eastAsia="仿宋_GB2312" w:cs="Times New Roman"/>
          <w:b w:val="0"/>
          <w:color w:val="auto"/>
          <w:sz w:val="32"/>
          <w:szCs w:val="32"/>
          <w:lang w:val="en-US" w:eastAsia="zh-CN"/>
        </w:rPr>
        <w:t>9</w:t>
      </w:r>
      <w:r>
        <w:rPr>
          <w:rFonts w:hint="default" w:ascii="Times New Roman" w:hAnsi="Times New Roman" w:eastAsia="仿宋_GB2312" w:cs="Times New Roman"/>
          <w:b w:val="0"/>
          <w:color w:val="auto"/>
          <w:sz w:val="32"/>
          <w:szCs w:val="32"/>
        </w:rPr>
        <w:t>年“三公经费”预算0万元，决算0万元，完成年初预算0%，决算数大于（小于）预算数的主要原因：无“三公经费”。与上年同期相比增加（减少）0万元,增长（下降）0%；增加（减少）的主要原因：</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1.因公出国（境）经费支出情况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201</w:t>
      </w:r>
      <w:r>
        <w:rPr>
          <w:rFonts w:hint="default" w:ascii="Times New Roman" w:hAnsi="Times New Roman" w:eastAsia="仿宋_GB2312" w:cs="Times New Roman"/>
          <w:b w:val="0"/>
          <w:color w:val="auto"/>
          <w:sz w:val="32"/>
          <w:szCs w:val="32"/>
          <w:lang w:val="en-US" w:eastAsia="zh-CN"/>
        </w:rPr>
        <w:t>9</w:t>
      </w:r>
      <w:r>
        <w:rPr>
          <w:rFonts w:hint="default" w:ascii="Times New Roman" w:hAnsi="Times New Roman" w:eastAsia="仿宋_GB2312" w:cs="Times New Roman"/>
          <w:b w:val="0"/>
          <w:color w:val="auto"/>
          <w:sz w:val="32"/>
          <w:szCs w:val="32"/>
        </w:rPr>
        <w:t>年我单位因公出国（境）费用0万元。较上年增加（减少）0万元，增长（下降）0%，变动原因为：无因公出国（境）：本年度本单位使用公共预算财政拨款安排的出国（境）团组织0个，共有0人；参加其他单位组织的出国（境）团组0个，增加0万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2.公务用车购置和运行费支出情况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201</w:t>
      </w:r>
      <w:r>
        <w:rPr>
          <w:rFonts w:hint="default" w:ascii="Times New Roman" w:hAnsi="Times New Roman" w:eastAsia="仿宋_GB2312" w:cs="Times New Roman"/>
          <w:b w:val="0"/>
          <w:color w:val="auto"/>
          <w:sz w:val="32"/>
          <w:szCs w:val="32"/>
          <w:lang w:val="en-US" w:eastAsia="zh-CN"/>
        </w:rPr>
        <w:t>9</w:t>
      </w:r>
      <w:r>
        <w:rPr>
          <w:rFonts w:hint="default" w:ascii="Times New Roman" w:hAnsi="Times New Roman" w:eastAsia="仿宋_GB2312" w:cs="Times New Roman"/>
          <w:b w:val="0"/>
          <w:color w:val="auto"/>
          <w:sz w:val="32"/>
          <w:szCs w:val="32"/>
        </w:rPr>
        <w:t>年我单位公务用车购置0辆，公务车保有量为0辆，公务用车购置费0万元，较上年增加（减少）0万元，增长（下降）0%。</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201</w:t>
      </w:r>
      <w:r>
        <w:rPr>
          <w:rFonts w:hint="default" w:ascii="Times New Roman" w:hAnsi="Times New Roman" w:eastAsia="仿宋_GB2312" w:cs="Times New Roman"/>
          <w:b w:val="0"/>
          <w:color w:val="auto"/>
          <w:sz w:val="32"/>
          <w:szCs w:val="32"/>
          <w:lang w:val="en-US" w:eastAsia="zh-CN"/>
        </w:rPr>
        <w:t>9</w:t>
      </w:r>
      <w:r>
        <w:rPr>
          <w:rFonts w:hint="default" w:ascii="Times New Roman" w:hAnsi="Times New Roman" w:eastAsia="仿宋_GB2312" w:cs="Times New Roman"/>
          <w:b w:val="0"/>
          <w:color w:val="auto"/>
          <w:sz w:val="32"/>
          <w:szCs w:val="32"/>
        </w:rPr>
        <w:t>年我单位公务用车运行费0万元，较上年增加（减少）0万元，增长（下降）0%，变动原因为：没有公务用车，201</w:t>
      </w:r>
      <w:r>
        <w:rPr>
          <w:rFonts w:hint="default" w:ascii="Times New Roman" w:hAnsi="Times New Roman" w:eastAsia="仿宋_GB2312" w:cs="Times New Roman"/>
          <w:b w:val="0"/>
          <w:color w:val="auto"/>
          <w:sz w:val="32"/>
          <w:szCs w:val="32"/>
          <w:lang w:val="en-US" w:eastAsia="zh-CN"/>
        </w:rPr>
        <w:t>9</w:t>
      </w:r>
      <w:r>
        <w:rPr>
          <w:rFonts w:hint="default" w:ascii="Times New Roman" w:hAnsi="Times New Roman" w:eastAsia="仿宋_GB2312" w:cs="Times New Roman"/>
          <w:b w:val="0"/>
          <w:color w:val="auto"/>
          <w:sz w:val="32"/>
          <w:szCs w:val="32"/>
        </w:rPr>
        <w:t>年本单位车均维护费0元。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3.公务接待费用支出情况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201</w:t>
      </w:r>
      <w:r>
        <w:rPr>
          <w:rFonts w:hint="default" w:ascii="Times New Roman" w:hAnsi="Times New Roman" w:eastAsia="仿宋_GB2312" w:cs="Times New Roman"/>
          <w:b w:val="0"/>
          <w:color w:val="auto"/>
          <w:sz w:val="32"/>
          <w:szCs w:val="32"/>
          <w:lang w:val="en-US" w:eastAsia="zh-CN"/>
        </w:rPr>
        <w:t>9</w:t>
      </w:r>
      <w:r>
        <w:rPr>
          <w:rFonts w:hint="default" w:ascii="Times New Roman" w:hAnsi="Times New Roman" w:eastAsia="仿宋_GB2312" w:cs="Times New Roman"/>
          <w:b w:val="0"/>
          <w:color w:val="auto"/>
          <w:sz w:val="32"/>
          <w:szCs w:val="32"/>
        </w:rPr>
        <w:t>年本单位公务接待费0万元，较上年增加（减少）0万元，增长（下降）0%，变动原因为：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其中</w:t>
      </w:r>
      <w:r>
        <w:rPr>
          <w:rFonts w:hint="default" w:ascii="Times New Roman" w:hAnsi="Times New Roman" w:eastAsia="仿宋_GB2312" w:cs="Times New Roman"/>
          <w:b w:val="0"/>
          <w:color w:val="auto"/>
          <w:sz w:val="32"/>
          <w:szCs w:val="32"/>
          <w:lang w:eastAsia="zh-CN"/>
        </w:rPr>
        <w:t>：</w:t>
      </w:r>
      <w:r>
        <w:rPr>
          <w:rFonts w:hint="default" w:ascii="Times New Roman" w:hAnsi="Times New Roman" w:eastAsia="仿宋_GB2312" w:cs="Times New Roman"/>
          <w:b w:val="0"/>
          <w:color w:val="auto"/>
          <w:sz w:val="32"/>
          <w:szCs w:val="32"/>
        </w:rPr>
        <w:t>国内公务接待共0批次，接待人次0人，较上年增加（减少）0%，增加（减少）0万元。国外公务接待共0批次，接待人次0人，较上年增长（下降）0%，增加（减少）0万元，201</w:t>
      </w:r>
      <w:r>
        <w:rPr>
          <w:rFonts w:hint="default" w:ascii="Times New Roman" w:hAnsi="Times New Roman" w:eastAsia="仿宋_GB2312" w:cs="Times New Roman"/>
          <w:b w:val="0"/>
          <w:color w:val="auto"/>
          <w:sz w:val="32"/>
          <w:szCs w:val="32"/>
          <w:lang w:val="en-US" w:eastAsia="zh-CN"/>
        </w:rPr>
        <w:t>9</w:t>
      </w:r>
      <w:r>
        <w:rPr>
          <w:rFonts w:hint="default" w:ascii="Times New Roman" w:hAnsi="Times New Roman" w:eastAsia="仿宋_GB2312" w:cs="Times New Roman"/>
          <w:b w:val="0"/>
          <w:color w:val="auto"/>
          <w:sz w:val="32"/>
          <w:szCs w:val="32"/>
        </w:rPr>
        <w:t>年本单位人均接待费0万元。</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jc w:val="both"/>
        <w:textAlignment w:val="auto"/>
        <w:rPr>
          <w:rFonts w:hint="default" w:ascii="Times New Roman" w:hAnsi="Times New Roman" w:eastAsia="黑体" w:cs="Times New Roman"/>
          <w:color w:val="333333"/>
          <w:sz w:val="32"/>
          <w:szCs w:val="32"/>
          <w:lang w:val="en-US" w:eastAsia="zh-CN"/>
        </w:rPr>
      </w:pPr>
      <w:r>
        <w:rPr>
          <w:rFonts w:hint="default" w:ascii="Times New Roman" w:hAnsi="Times New Roman" w:eastAsia="黑体" w:cs="Times New Roman"/>
          <w:color w:val="333333"/>
          <w:sz w:val="32"/>
          <w:szCs w:val="32"/>
          <w:lang w:eastAsia="zh-CN"/>
        </w:rPr>
        <w:t>六、</w:t>
      </w:r>
      <w:r>
        <w:rPr>
          <w:rFonts w:hint="default" w:ascii="Times New Roman" w:hAnsi="Times New Roman" w:eastAsia="黑体" w:cs="Times New Roman"/>
          <w:color w:val="333333"/>
          <w:sz w:val="32"/>
          <w:szCs w:val="32"/>
        </w:rPr>
        <w:t>机关运行经费支出情况</w:t>
      </w:r>
    </w:p>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color w:val="333333"/>
          <w:sz w:val="32"/>
          <w:szCs w:val="32"/>
          <w:lang w:val="en-US" w:eastAsia="zh-CN"/>
        </w:rPr>
      </w:pPr>
      <w:r>
        <w:rPr>
          <w:rFonts w:hint="default" w:ascii="Times New Roman" w:hAnsi="Times New Roman" w:eastAsia="仿宋_GB2312" w:cs="Times New Roman"/>
          <w:b w:val="0"/>
          <w:color w:val="auto"/>
          <w:sz w:val="32"/>
          <w:szCs w:val="32"/>
        </w:rPr>
        <w:t>201</w:t>
      </w:r>
      <w:r>
        <w:rPr>
          <w:rFonts w:hint="default" w:ascii="Times New Roman" w:hAnsi="Times New Roman" w:eastAsia="仿宋_GB2312" w:cs="Times New Roman"/>
          <w:b w:val="0"/>
          <w:color w:val="auto"/>
          <w:sz w:val="32"/>
          <w:szCs w:val="32"/>
          <w:lang w:val="en-US" w:eastAsia="zh-CN"/>
        </w:rPr>
        <w:t>9</w:t>
      </w:r>
      <w:r>
        <w:rPr>
          <w:rFonts w:hint="default" w:ascii="Times New Roman" w:hAnsi="Times New Roman" w:eastAsia="仿宋_GB2312" w:cs="Times New Roman"/>
          <w:b w:val="0"/>
          <w:color w:val="auto"/>
          <w:sz w:val="32"/>
          <w:szCs w:val="32"/>
        </w:rPr>
        <w:t>年度机关运行经费支出0万元，与上年度相比无变化。</w:t>
      </w:r>
    </w:p>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color w:val="333333"/>
          <w:sz w:val="32"/>
          <w:szCs w:val="32"/>
          <w:lang w:eastAsia="zh-CN"/>
        </w:rPr>
        <w:t>七、政府采购支出情况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本单位201</w:t>
      </w:r>
      <w:r>
        <w:rPr>
          <w:rFonts w:hint="default" w:ascii="Times New Roman" w:hAnsi="Times New Roman" w:eastAsia="仿宋_GB2312" w:cs="Times New Roman"/>
          <w:b w:val="0"/>
          <w:color w:val="auto"/>
          <w:sz w:val="32"/>
          <w:szCs w:val="32"/>
          <w:lang w:val="en-US" w:eastAsia="zh-CN"/>
        </w:rPr>
        <w:t>9</w:t>
      </w:r>
      <w:r>
        <w:rPr>
          <w:rFonts w:hint="default" w:ascii="Times New Roman" w:hAnsi="Times New Roman" w:eastAsia="仿宋_GB2312" w:cs="Times New Roman"/>
          <w:b w:val="0"/>
          <w:color w:val="auto"/>
          <w:sz w:val="32"/>
          <w:szCs w:val="32"/>
        </w:rPr>
        <w:t>年度政府采购支出总额</w:t>
      </w:r>
      <w:r>
        <w:rPr>
          <w:rFonts w:hint="default" w:ascii="Times New Roman" w:hAnsi="Times New Roman" w:eastAsia="仿宋_GB2312" w:cs="Times New Roman"/>
          <w:b w:val="0"/>
          <w:color w:val="auto"/>
          <w:sz w:val="32"/>
          <w:szCs w:val="32"/>
          <w:lang w:val="en-US" w:eastAsia="zh-CN"/>
        </w:rPr>
        <w:t>8.89</w:t>
      </w:r>
      <w:r>
        <w:rPr>
          <w:rFonts w:hint="default" w:ascii="Times New Roman" w:hAnsi="Times New Roman" w:eastAsia="仿宋_GB2312" w:cs="Times New Roman"/>
          <w:b w:val="0"/>
          <w:color w:val="auto"/>
          <w:sz w:val="32"/>
          <w:szCs w:val="32"/>
        </w:rPr>
        <w:t>万元，其中：政府采购货物支出</w:t>
      </w:r>
      <w:r>
        <w:rPr>
          <w:rFonts w:hint="default" w:ascii="Times New Roman" w:hAnsi="Times New Roman" w:eastAsia="仿宋_GB2312" w:cs="Times New Roman"/>
          <w:b w:val="0"/>
          <w:color w:val="auto"/>
          <w:sz w:val="32"/>
          <w:szCs w:val="32"/>
          <w:lang w:val="en-US" w:eastAsia="zh-CN"/>
        </w:rPr>
        <w:t>8.89</w:t>
      </w:r>
      <w:r>
        <w:rPr>
          <w:rFonts w:hint="default" w:ascii="Times New Roman" w:hAnsi="Times New Roman" w:eastAsia="仿宋_GB2312" w:cs="Times New Roman"/>
          <w:b w:val="0"/>
          <w:color w:val="auto"/>
          <w:sz w:val="32"/>
          <w:szCs w:val="32"/>
        </w:rPr>
        <w:t>万元，为采购办公</w:t>
      </w:r>
      <w:r>
        <w:rPr>
          <w:rFonts w:hint="default" w:ascii="Times New Roman" w:hAnsi="Times New Roman" w:eastAsia="仿宋_GB2312" w:cs="Times New Roman"/>
          <w:b w:val="0"/>
          <w:color w:val="auto"/>
          <w:sz w:val="32"/>
          <w:szCs w:val="32"/>
          <w:lang w:eastAsia="zh-CN"/>
        </w:rPr>
        <w:t>设备</w:t>
      </w:r>
      <w:r>
        <w:rPr>
          <w:rFonts w:hint="default" w:ascii="Times New Roman" w:hAnsi="Times New Roman" w:eastAsia="仿宋_GB2312" w:cs="Times New Roman"/>
          <w:b w:val="0"/>
          <w:color w:val="auto"/>
          <w:sz w:val="32"/>
          <w:szCs w:val="32"/>
        </w:rPr>
        <w:t>支出。政府采购工程支出0万元、政府采购服务支出0万元。授予中小企业合同金额</w:t>
      </w:r>
      <w:r>
        <w:rPr>
          <w:rFonts w:hint="default" w:ascii="Times New Roman" w:hAnsi="Times New Roman" w:eastAsia="仿宋_GB2312" w:cs="Times New Roman"/>
          <w:b w:val="0"/>
          <w:color w:val="auto"/>
          <w:sz w:val="32"/>
          <w:szCs w:val="32"/>
          <w:lang w:val="en-US" w:eastAsia="zh-CN"/>
        </w:rPr>
        <w:t>8.89</w:t>
      </w:r>
      <w:r>
        <w:rPr>
          <w:rFonts w:hint="default" w:ascii="Times New Roman" w:hAnsi="Times New Roman" w:eastAsia="仿宋_GB2312" w:cs="Times New Roman"/>
          <w:b w:val="0"/>
          <w:color w:val="auto"/>
          <w:sz w:val="32"/>
          <w:szCs w:val="32"/>
        </w:rPr>
        <w:t>万元，占政府采购支出总额的</w:t>
      </w:r>
      <w:r>
        <w:rPr>
          <w:rFonts w:hint="default" w:ascii="Times New Roman" w:hAnsi="Times New Roman" w:eastAsia="仿宋_GB2312" w:cs="Times New Roman"/>
          <w:b w:val="0"/>
          <w:color w:val="auto"/>
          <w:sz w:val="32"/>
          <w:szCs w:val="32"/>
          <w:lang w:val="en-US" w:eastAsia="zh-CN"/>
        </w:rPr>
        <w:t>100</w:t>
      </w:r>
      <w:r>
        <w:rPr>
          <w:rFonts w:hint="default" w:ascii="Times New Roman" w:hAnsi="Times New Roman" w:eastAsia="仿宋_GB2312" w:cs="Times New Roman"/>
          <w:b w:val="0"/>
          <w:color w:val="auto"/>
          <w:sz w:val="32"/>
          <w:szCs w:val="32"/>
        </w:rPr>
        <w:t>%，其中：授予小微企业合同金额0万元，占政府采购支出总额的0%。</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jc w:val="both"/>
        <w:textAlignment w:val="auto"/>
        <w:rPr>
          <w:rFonts w:hint="default" w:ascii="Times New Roman" w:hAnsi="Times New Roman" w:eastAsia="黑体" w:cs="Times New Roman"/>
          <w:color w:val="333333"/>
          <w:sz w:val="32"/>
          <w:szCs w:val="32"/>
          <w:lang w:eastAsia="zh-CN"/>
        </w:rPr>
      </w:pPr>
      <w:r>
        <w:rPr>
          <w:rFonts w:hint="default" w:ascii="Times New Roman" w:hAnsi="Times New Roman" w:eastAsia="黑体" w:cs="Times New Roman"/>
          <w:color w:val="333333"/>
          <w:sz w:val="32"/>
          <w:szCs w:val="32"/>
          <w:lang w:eastAsia="zh-CN"/>
        </w:rPr>
        <w:t>八、国有资产占用情况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Times New Roman" w:hAnsi="Times New Roman" w:eastAsia="仿宋_GB2312" w:cs="Times New Roman"/>
          <w:b w:val="0"/>
          <w:color w:val="auto"/>
          <w:sz w:val="32"/>
          <w:szCs w:val="32"/>
        </w:rPr>
      </w:pPr>
      <w:r>
        <w:rPr>
          <w:rFonts w:hint="default" w:ascii="Times New Roman" w:hAnsi="Times New Roman" w:eastAsia="仿宋_GB2312" w:cs="Times New Roman"/>
          <w:b w:val="0"/>
          <w:color w:val="auto"/>
          <w:sz w:val="32"/>
          <w:szCs w:val="32"/>
        </w:rPr>
        <w:t>本部门共有车辆0辆，其中，领导干部用车0辆、一般公务用车0辆、一般执法执勤用车0辆、特种专业技术用车0辆、其他用车0辆，其他用车主要是无；单位价值50万元以上通用设备0台（套），单价100万元以上专用设备0台（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right="0" w:firstLine="640" w:firstLineChars="200"/>
        <w:jc w:val="left"/>
        <w:textAlignment w:val="auto"/>
        <w:rPr>
          <w:rFonts w:hint="default" w:ascii="Times New Roman" w:hAnsi="Times New Roman" w:eastAsia="黑体" w:cs="Times New Roman"/>
          <w:color w:val="333333"/>
          <w:sz w:val="32"/>
          <w:szCs w:val="32"/>
          <w:lang w:eastAsia="zh-CN"/>
        </w:rPr>
      </w:pPr>
      <w:r>
        <w:rPr>
          <w:rFonts w:hint="default" w:ascii="Times New Roman" w:hAnsi="Times New Roman" w:eastAsia="黑体" w:cs="Times New Roman"/>
          <w:color w:val="333333"/>
          <w:sz w:val="32"/>
          <w:szCs w:val="32"/>
          <w:lang w:eastAsia="zh-CN"/>
        </w:rPr>
        <w:t>九、预算绩效情况</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根据财政预算绩效管理要求，对2019年度一般公共预算项目支出开展绩效评价。我单位涉及</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个项目，</w:t>
      </w:r>
      <w:r>
        <w:rPr>
          <w:rFonts w:hint="default" w:ascii="Times New Roman" w:hAnsi="Times New Roman" w:eastAsia="仿宋_GB2312" w:cs="Times New Roman"/>
          <w:sz w:val="32"/>
          <w:szCs w:val="32"/>
          <w:lang w:eastAsia="zh-CN"/>
        </w:rPr>
        <w:t>“麦积山论坛”项目、天水城区公共区域无线网络覆盖政府购买服务项目、天水电子政务云平台项目。</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“麦积山论坛”项目，项目</w:t>
      </w:r>
      <w:r>
        <w:rPr>
          <w:rFonts w:hint="default" w:ascii="Times New Roman" w:hAnsi="Times New Roman" w:eastAsia="仿宋_GB2312" w:cs="Times New Roman"/>
          <w:sz w:val="32"/>
          <w:szCs w:val="32"/>
          <w:lang w:eastAsia="zh-CN"/>
        </w:rPr>
        <w:t>指标下达</w:t>
      </w:r>
      <w:r>
        <w:rPr>
          <w:rFonts w:hint="default" w:ascii="Times New Roman" w:hAnsi="Times New Roman" w:eastAsia="仿宋_GB2312" w:cs="Times New Roman"/>
          <w:sz w:val="32"/>
          <w:szCs w:val="32"/>
          <w:lang w:val="en-US" w:eastAsia="zh-CN"/>
        </w:rPr>
        <w:t>49.5</w:t>
      </w:r>
      <w:r>
        <w:rPr>
          <w:rFonts w:hint="default" w:ascii="Times New Roman" w:hAnsi="Times New Roman" w:eastAsia="仿宋_GB2312" w:cs="Times New Roman"/>
          <w:sz w:val="32"/>
          <w:szCs w:val="32"/>
        </w:rPr>
        <w:t>万元，实际支出33.38万元，占一般公共预算项目支出总额的</w:t>
      </w:r>
      <w:r>
        <w:rPr>
          <w:rFonts w:hint="default" w:ascii="Times New Roman" w:hAnsi="Times New Roman" w:eastAsia="仿宋_GB2312" w:cs="Times New Roman"/>
          <w:sz w:val="32"/>
          <w:szCs w:val="32"/>
          <w:lang w:val="en-US" w:eastAsia="zh-CN"/>
        </w:rPr>
        <w:t>67.43</w:t>
      </w:r>
      <w:r>
        <w:rPr>
          <w:rFonts w:hint="default" w:ascii="Times New Roman" w:hAnsi="Times New Roman" w:eastAsia="仿宋_GB2312" w:cs="Times New Roman"/>
          <w:sz w:val="32"/>
          <w:szCs w:val="32"/>
        </w:rPr>
        <w:t>%。2019年未举办“麦积山论坛”，故未做项目绩效评价。</w:t>
      </w:r>
    </w:p>
    <w:tbl>
      <w:tblPr>
        <w:tblStyle w:val="3"/>
        <w:tblW w:w="9235" w:type="dxa"/>
        <w:tblInd w:w="0" w:type="dxa"/>
        <w:shd w:val="clear" w:color="auto" w:fill="auto"/>
        <w:tblLayout w:type="fixed"/>
        <w:tblCellMar>
          <w:top w:w="0" w:type="dxa"/>
          <w:left w:w="0" w:type="dxa"/>
          <w:bottom w:w="0" w:type="dxa"/>
          <w:right w:w="0" w:type="dxa"/>
        </w:tblCellMar>
      </w:tblPr>
      <w:tblGrid>
        <w:gridCol w:w="615"/>
        <w:gridCol w:w="15"/>
        <w:gridCol w:w="315"/>
        <w:gridCol w:w="645"/>
        <w:gridCol w:w="30"/>
        <w:gridCol w:w="390"/>
        <w:gridCol w:w="495"/>
        <w:gridCol w:w="90"/>
        <w:gridCol w:w="750"/>
        <w:gridCol w:w="90"/>
        <w:gridCol w:w="510"/>
        <w:gridCol w:w="615"/>
        <w:gridCol w:w="285"/>
        <w:gridCol w:w="471"/>
        <w:gridCol w:w="435"/>
        <w:gridCol w:w="684"/>
        <w:gridCol w:w="300"/>
        <w:gridCol w:w="865"/>
        <w:gridCol w:w="395"/>
        <w:gridCol w:w="1170"/>
        <w:gridCol w:w="70"/>
      </w:tblGrid>
      <w:tr>
        <w:tblPrEx>
          <w:tblCellMar>
            <w:top w:w="0" w:type="dxa"/>
            <w:left w:w="0" w:type="dxa"/>
            <w:bottom w:w="0" w:type="dxa"/>
            <w:right w:w="0" w:type="dxa"/>
          </w:tblCellMar>
        </w:tblPrEx>
        <w:trPr>
          <w:trHeight w:val="450" w:hRule="atLeast"/>
        </w:trPr>
        <w:tc>
          <w:tcPr>
            <w:tcW w:w="9235" w:type="dxa"/>
            <w:gridSpan w:val="2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 xml:space="preserve"> 项目概述</w:t>
            </w:r>
          </w:p>
        </w:tc>
      </w:tr>
      <w:tr>
        <w:tblPrEx>
          <w:tblCellMar>
            <w:top w:w="0" w:type="dxa"/>
            <w:left w:w="0" w:type="dxa"/>
            <w:bottom w:w="0" w:type="dxa"/>
            <w:right w:w="0" w:type="dxa"/>
          </w:tblCellMar>
        </w:tblPrEx>
        <w:trPr>
          <w:trHeight w:val="285"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项目名称：</w:t>
            </w:r>
          </w:p>
        </w:tc>
        <w:tc>
          <w:tcPr>
            <w:tcW w:w="7225"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2019绿色及可持续发展麦积山论坛会议经费</w:t>
            </w:r>
          </w:p>
        </w:tc>
      </w:tr>
      <w:tr>
        <w:tblPrEx>
          <w:shd w:val="clear" w:color="auto" w:fill="auto"/>
          <w:tblCellMar>
            <w:top w:w="0" w:type="dxa"/>
            <w:left w:w="0" w:type="dxa"/>
            <w:bottom w:w="0" w:type="dxa"/>
            <w:right w:w="0" w:type="dxa"/>
          </w:tblCellMar>
        </w:tblPrEx>
        <w:trPr>
          <w:trHeight w:val="285"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项目类型*：</w:t>
            </w:r>
          </w:p>
        </w:tc>
        <w:tc>
          <w:tcPr>
            <w:tcW w:w="3306" w:type="dxa"/>
            <w:gridSpan w:val="8"/>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延续性项目</w:t>
            </w:r>
          </w:p>
        </w:tc>
        <w:tc>
          <w:tcPr>
            <w:tcW w:w="2284"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项目分类：</w:t>
            </w:r>
          </w:p>
        </w:tc>
        <w:tc>
          <w:tcPr>
            <w:tcW w:w="1635"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85"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资金用途*：</w:t>
            </w:r>
          </w:p>
        </w:tc>
        <w:tc>
          <w:tcPr>
            <w:tcW w:w="3306" w:type="dxa"/>
            <w:gridSpan w:val="8"/>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事业专业类</w:t>
            </w:r>
          </w:p>
        </w:tc>
        <w:tc>
          <w:tcPr>
            <w:tcW w:w="2284"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市级主管部门*：</w:t>
            </w:r>
          </w:p>
        </w:tc>
        <w:tc>
          <w:tcPr>
            <w:tcW w:w="163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85"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财政归口科室：</w:t>
            </w:r>
          </w:p>
        </w:tc>
        <w:tc>
          <w:tcPr>
            <w:tcW w:w="7225" w:type="dxa"/>
            <w:gridSpan w:val="1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经济建设一科</w:t>
            </w:r>
          </w:p>
        </w:tc>
      </w:tr>
      <w:tr>
        <w:tblPrEx>
          <w:tblCellMar>
            <w:top w:w="0" w:type="dxa"/>
            <w:left w:w="0" w:type="dxa"/>
            <w:bottom w:w="0" w:type="dxa"/>
            <w:right w:w="0" w:type="dxa"/>
          </w:tblCellMar>
        </w:tblPrEx>
        <w:trPr>
          <w:trHeight w:val="390"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联系人*：</w:t>
            </w:r>
          </w:p>
        </w:tc>
        <w:tc>
          <w:tcPr>
            <w:tcW w:w="3306" w:type="dxa"/>
            <w:gridSpan w:val="8"/>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2284"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联系电话*：</w:t>
            </w:r>
          </w:p>
        </w:tc>
        <w:tc>
          <w:tcPr>
            <w:tcW w:w="163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702"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计划开始日期：</w:t>
            </w:r>
          </w:p>
        </w:tc>
        <w:tc>
          <w:tcPr>
            <w:tcW w:w="330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2019-01-01</w:t>
            </w:r>
          </w:p>
        </w:tc>
        <w:tc>
          <w:tcPr>
            <w:tcW w:w="2284" w:type="dxa"/>
            <w:gridSpan w:val="4"/>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计划完成日期：</w:t>
            </w:r>
          </w:p>
        </w:tc>
        <w:tc>
          <w:tcPr>
            <w:tcW w:w="1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2019-12-31</w:t>
            </w:r>
          </w:p>
        </w:tc>
      </w:tr>
      <w:tr>
        <w:tblPrEx>
          <w:tblCellMar>
            <w:top w:w="0" w:type="dxa"/>
            <w:left w:w="0" w:type="dxa"/>
            <w:bottom w:w="0" w:type="dxa"/>
            <w:right w:w="0" w:type="dxa"/>
          </w:tblCellMar>
        </w:tblPrEx>
        <w:trPr>
          <w:trHeight w:val="834"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项目总投资*：</w:t>
            </w:r>
          </w:p>
        </w:tc>
        <w:tc>
          <w:tcPr>
            <w:tcW w:w="330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1500000</w:t>
            </w:r>
          </w:p>
        </w:tc>
        <w:tc>
          <w:tcPr>
            <w:tcW w:w="2284"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市级配套（不含中央、省级补助资金*:</w:t>
            </w:r>
          </w:p>
        </w:tc>
        <w:tc>
          <w:tcPr>
            <w:tcW w:w="1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1500000</w:t>
            </w:r>
          </w:p>
        </w:tc>
      </w:tr>
      <w:tr>
        <w:tblPrEx>
          <w:tblCellMar>
            <w:top w:w="0" w:type="dxa"/>
            <w:left w:w="0" w:type="dxa"/>
            <w:bottom w:w="0" w:type="dxa"/>
            <w:right w:w="0" w:type="dxa"/>
          </w:tblCellMar>
        </w:tblPrEx>
        <w:trPr>
          <w:trHeight w:val="285"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市本级支出*：</w:t>
            </w:r>
          </w:p>
        </w:tc>
        <w:tc>
          <w:tcPr>
            <w:tcW w:w="330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1500000</w:t>
            </w:r>
          </w:p>
        </w:tc>
        <w:tc>
          <w:tcPr>
            <w:tcW w:w="2284" w:type="dxa"/>
            <w:gridSpan w:val="4"/>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对县区转移支付：</w:t>
            </w:r>
          </w:p>
        </w:tc>
        <w:tc>
          <w:tcPr>
            <w:tcW w:w="1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285" w:hRule="atLeast"/>
        </w:trPr>
        <w:tc>
          <w:tcPr>
            <w:tcW w:w="5316" w:type="dxa"/>
            <w:gridSpan w:val="1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上年度市级配套（不含中央、省级补助资金）：</w:t>
            </w:r>
          </w:p>
        </w:tc>
        <w:tc>
          <w:tcPr>
            <w:tcW w:w="3919" w:type="dxa"/>
            <w:gridSpan w:val="7"/>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3000000</w:t>
            </w:r>
          </w:p>
        </w:tc>
      </w:tr>
      <w:tr>
        <w:tblPrEx>
          <w:tblCellMar>
            <w:top w:w="0" w:type="dxa"/>
            <w:left w:w="0" w:type="dxa"/>
            <w:bottom w:w="0" w:type="dxa"/>
            <w:right w:w="0" w:type="dxa"/>
          </w:tblCellMar>
        </w:tblPrEx>
        <w:trPr>
          <w:trHeight w:val="2827"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项目概况</w:t>
            </w:r>
          </w:p>
        </w:tc>
        <w:tc>
          <w:tcPr>
            <w:tcW w:w="7225"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绿色催化专家智库”“绿色及可持续发展麦积山论坛”是天水市委、市政府按照国家关于重点建设“国家亟需、特色鲜明、制度创新、引领发展”专业化高端智库的要求，坚持创新、协调、绿色、开放、共享的发展理念，紧紧围绕国家“一带一路”倡议</w:t>
            </w:r>
            <w:bookmarkStart w:id="0" w:name="_GoBack"/>
            <w:bookmarkEnd w:id="0"/>
            <w:r>
              <w:rPr>
                <w:rFonts w:hint="eastAsia" w:ascii="宋体" w:hAnsi="宋体" w:eastAsia="宋体" w:cs="宋体"/>
                <w:i w:val="0"/>
                <w:color w:val="000000"/>
                <w:kern w:val="0"/>
                <w:sz w:val="22"/>
                <w:szCs w:val="22"/>
                <w:u w:val="none"/>
                <w:lang w:val="en-US" w:eastAsia="zh-CN" w:bidi="ar"/>
              </w:rPr>
              <w:t>，与华东师范大学、中国科学院大连化学物理研究所、北京大学深圳研究生院、兰州分离科学研究所、甘肃中科药源生物工程股份有限公司等高校和科研单位共同合作建设的，致力于转化科技成果、发展绿色产业、促进资源节约、推动循环利用、实现绿色可持续发展的高端智库、论坛。</w:t>
            </w:r>
          </w:p>
        </w:tc>
      </w:tr>
      <w:tr>
        <w:tblPrEx>
          <w:shd w:val="clear" w:color="auto" w:fill="auto"/>
          <w:tblCellMar>
            <w:top w:w="0" w:type="dxa"/>
            <w:left w:w="0" w:type="dxa"/>
            <w:bottom w:w="0" w:type="dxa"/>
            <w:right w:w="0" w:type="dxa"/>
          </w:tblCellMar>
        </w:tblPrEx>
        <w:trPr>
          <w:trHeight w:val="870"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立项依据</w:t>
            </w:r>
          </w:p>
        </w:tc>
        <w:tc>
          <w:tcPr>
            <w:tcW w:w="7225"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市委办发（2016）3号</w:t>
            </w:r>
          </w:p>
        </w:tc>
      </w:tr>
      <w:tr>
        <w:tblPrEx>
          <w:tblCellMar>
            <w:top w:w="0" w:type="dxa"/>
            <w:left w:w="0" w:type="dxa"/>
            <w:bottom w:w="0" w:type="dxa"/>
            <w:right w:w="0" w:type="dxa"/>
          </w:tblCellMar>
        </w:tblPrEx>
        <w:trPr>
          <w:trHeight w:val="1775"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设立的必要性</w:t>
            </w:r>
          </w:p>
        </w:tc>
        <w:tc>
          <w:tcPr>
            <w:tcW w:w="7225"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为全面贯彻落实习近平总书记和国家关于加强中国特色新型智库建设的指示精神，积极践行“创新、协调、绿色、开放、共享”发展理念，为绿色催化领域学术研究搭建高端技术对接交流平台，推动西部地区科技进步与创新，着力打造国内一流、具有影响力的智库论坛，在天水市举办绿色催化专家智库高端年会——绿色及可持续发展麦积山论坛。</w:t>
            </w:r>
          </w:p>
        </w:tc>
      </w:tr>
      <w:tr>
        <w:tblPrEx>
          <w:shd w:val="clear" w:color="auto" w:fill="auto"/>
          <w:tblCellMar>
            <w:top w:w="0" w:type="dxa"/>
            <w:left w:w="0" w:type="dxa"/>
            <w:bottom w:w="0" w:type="dxa"/>
            <w:right w:w="0" w:type="dxa"/>
          </w:tblCellMar>
        </w:tblPrEx>
        <w:trPr>
          <w:trHeight w:val="1539"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保证项目实施</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的制度、措施</w:t>
            </w:r>
          </w:p>
        </w:tc>
        <w:tc>
          <w:tcPr>
            <w:tcW w:w="7225"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见附件。</w:t>
            </w:r>
          </w:p>
        </w:tc>
      </w:tr>
      <w:tr>
        <w:tblPrEx>
          <w:shd w:val="clear" w:color="auto" w:fill="auto"/>
          <w:tblCellMar>
            <w:top w:w="0" w:type="dxa"/>
            <w:left w:w="0" w:type="dxa"/>
            <w:bottom w:w="0" w:type="dxa"/>
            <w:right w:w="0" w:type="dxa"/>
          </w:tblCellMar>
        </w:tblPrEx>
        <w:trPr>
          <w:trHeight w:val="870"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实施计划</w:t>
            </w:r>
          </w:p>
        </w:tc>
        <w:tc>
          <w:tcPr>
            <w:tcW w:w="7225"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见附件。</w:t>
            </w:r>
          </w:p>
        </w:tc>
      </w:tr>
      <w:tr>
        <w:tblPrEx>
          <w:shd w:val="clear" w:color="auto" w:fill="auto"/>
          <w:tblCellMar>
            <w:top w:w="0" w:type="dxa"/>
            <w:left w:w="0" w:type="dxa"/>
            <w:bottom w:w="0" w:type="dxa"/>
            <w:right w:w="0" w:type="dxa"/>
          </w:tblCellMar>
        </w:tblPrEx>
        <w:trPr>
          <w:trHeight w:val="1140"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总目标</w:t>
            </w:r>
          </w:p>
        </w:tc>
        <w:tc>
          <w:tcPr>
            <w:tcW w:w="7225"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打造具有影响力的绿色可持续发展论坛品牌。</w:t>
            </w:r>
          </w:p>
        </w:tc>
      </w:tr>
      <w:tr>
        <w:tblPrEx>
          <w:shd w:val="clear" w:color="auto" w:fill="auto"/>
          <w:tblCellMar>
            <w:top w:w="0" w:type="dxa"/>
            <w:left w:w="0" w:type="dxa"/>
            <w:bottom w:w="0" w:type="dxa"/>
            <w:right w:w="0" w:type="dxa"/>
          </w:tblCellMar>
        </w:tblPrEx>
        <w:trPr>
          <w:trHeight w:val="1899"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年度目标</w:t>
            </w:r>
          </w:p>
        </w:tc>
        <w:tc>
          <w:tcPr>
            <w:tcW w:w="7225"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按照市委、市政府和绿色催化专家智库理事会统一安排部署，确保智库论坛专项工作有序开展。</w:t>
            </w:r>
          </w:p>
        </w:tc>
      </w:tr>
      <w:tr>
        <w:tblPrEx>
          <w:shd w:val="clear" w:color="auto" w:fill="auto"/>
          <w:tblCellMar>
            <w:top w:w="0" w:type="dxa"/>
            <w:left w:w="0" w:type="dxa"/>
            <w:bottom w:w="0" w:type="dxa"/>
            <w:right w:w="0" w:type="dxa"/>
          </w:tblCellMar>
        </w:tblPrEx>
        <w:trPr>
          <w:trHeight w:val="887" w:hRule="atLeast"/>
        </w:trPr>
        <w:tc>
          <w:tcPr>
            <w:tcW w:w="2010"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需要说明的其他问题</w:t>
            </w:r>
          </w:p>
        </w:tc>
        <w:tc>
          <w:tcPr>
            <w:tcW w:w="7225"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85" w:hRule="atLeast"/>
        </w:trPr>
        <w:tc>
          <w:tcPr>
            <w:tcW w:w="9235" w:type="dxa"/>
            <w:gridSpan w:val="21"/>
            <w:vMerge w:val="restar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Arial" w:hAnsi="Arial" w:cs="Arial"/>
                <w:i w:val="0"/>
                <w:color w:val="000000"/>
                <w:sz w:val="20"/>
                <w:szCs w:val="20"/>
                <w:u w:val="none"/>
              </w:rPr>
            </w:pPr>
            <w:r>
              <w:rPr>
                <w:rFonts w:hint="default" w:ascii="宋体" w:hAnsi="宋体" w:eastAsia="宋体" w:cs="宋体"/>
                <w:b/>
                <w:i w:val="0"/>
                <w:color w:val="000000"/>
                <w:kern w:val="0"/>
                <w:sz w:val="36"/>
                <w:szCs w:val="36"/>
                <w:u w:val="none"/>
                <w:lang w:val="en-US" w:eastAsia="zh-CN" w:bidi="ar"/>
              </w:rPr>
              <w:t>资金安排使用情况表</w:t>
            </w:r>
          </w:p>
        </w:tc>
      </w:tr>
      <w:tr>
        <w:tblPrEx>
          <w:tblCellMar>
            <w:top w:w="0" w:type="dxa"/>
            <w:left w:w="0" w:type="dxa"/>
            <w:bottom w:w="0" w:type="dxa"/>
            <w:right w:w="0" w:type="dxa"/>
          </w:tblCellMar>
        </w:tblPrEx>
        <w:trPr>
          <w:trHeight w:val="285" w:hRule="atLeast"/>
        </w:trPr>
        <w:tc>
          <w:tcPr>
            <w:tcW w:w="9235" w:type="dxa"/>
            <w:gridSpan w:val="21"/>
            <w:vMerge w:val="continue"/>
            <w:tcBorders>
              <w:top w:val="nil"/>
              <w:left w:val="nil"/>
              <w:bottom w:val="nil"/>
              <w:right w:val="nil"/>
            </w:tcBorders>
            <w:shd w:val="clear" w:color="auto" w:fill="auto"/>
            <w:noWrap/>
            <w:tcMar>
              <w:top w:w="15" w:type="dxa"/>
              <w:left w:w="15" w:type="dxa"/>
              <w:right w:w="15" w:type="dxa"/>
            </w:tcMar>
            <w:vAlign w:val="center"/>
          </w:tcPr>
          <w:p>
            <w:pPr>
              <w:jc w:val="center"/>
              <w:rPr>
                <w:rFonts w:hint="default" w:ascii="Arial" w:hAnsi="Arial" w:cs="Arial"/>
                <w:i w:val="0"/>
                <w:color w:val="000000"/>
                <w:sz w:val="20"/>
                <w:szCs w:val="20"/>
                <w:u w:val="none"/>
              </w:rPr>
            </w:pPr>
          </w:p>
        </w:tc>
      </w:tr>
      <w:tr>
        <w:tblPrEx>
          <w:tblCellMar>
            <w:top w:w="0" w:type="dxa"/>
            <w:left w:w="0" w:type="dxa"/>
            <w:bottom w:w="0" w:type="dxa"/>
            <w:right w:w="0" w:type="dxa"/>
          </w:tblCellMar>
        </w:tblPrEx>
        <w:trPr>
          <w:trHeight w:val="514" w:hRule="atLeast"/>
        </w:trPr>
        <w:tc>
          <w:tcPr>
            <w:tcW w:w="630" w:type="dxa"/>
            <w:gridSpan w:val="2"/>
            <w:vMerge w:val="restart"/>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二级构成</w:t>
            </w:r>
          </w:p>
        </w:tc>
        <w:tc>
          <w:tcPr>
            <w:tcW w:w="1965" w:type="dxa"/>
            <w:gridSpan w:val="6"/>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预算情况（元）</w:t>
            </w:r>
          </w:p>
        </w:tc>
        <w:tc>
          <w:tcPr>
            <w:tcW w:w="1965" w:type="dxa"/>
            <w:gridSpan w:val="4"/>
            <w:tcBorders>
              <w:top w:val="single" w:color="000000" w:sz="4" w:space="0"/>
              <w:left w:val="single" w:color="000000" w:sz="4" w:space="0"/>
              <w:bottom w:val="single" w:color="000000" w:sz="4" w:space="0"/>
              <w:right w:val="single" w:color="auto" w:sz="4" w:space="0"/>
            </w:tcBorders>
            <w:shd w:val="clear" w:color="auto" w:fill="33CCCC"/>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实际支出情况（元）</w:t>
            </w:r>
          </w:p>
        </w:tc>
        <w:tc>
          <w:tcPr>
            <w:tcW w:w="4675" w:type="dxa"/>
            <w:gridSpan w:val="9"/>
            <w:vMerge w:val="restart"/>
            <w:tcBorders>
              <w:top w:val="single" w:color="auto" w:sz="4" w:space="0"/>
              <w:left w:val="single" w:color="auto" w:sz="4" w:space="0"/>
              <w:bottom w:val="single" w:color="000000" w:sz="4" w:space="0"/>
              <w:right w:val="single" w:color="auto"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预算执行率（本级财政资金）</w:t>
            </w:r>
          </w:p>
        </w:tc>
      </w:tr>
      <w:tr>
        <w:tblPrEx>
          <w:tblCellMar>
            <w:top w:w="0" w:type="dxa"/>
            <w:left w:w="0" w:type="dxa"/>
            <w:bottom w:w="0" w:type="dxa"/>
            <w:right w:w="0" w:type="dxa"/>
          </w:tblCellMar>
        </w:tblPrEx>
        <w:trPr>
          <w:trHeight w:val="1020" w:hRule="atLeast"/>
        </w:trPr>
        <w:tc>
          <w:tcPr>
            <w:tcW w:w="630" w:type="dxa"/>
            <w:gridSpan w:val="2"/>
            <w:vMerge w:val="continue"/>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预算数</w:t>
            </w: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其中：本级财政资金</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实际支出数</w:t>
            </w:r>
          </w:p>
        </w:tc>
        <w:tc>
          <w:tcPr>
            <w:tcW w:w="1125" w:type="dxa"/>
            <w:gridSpan w:val="2"/>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其中：本级财政资金</w:t>
            </w:r>
          </w:p>
        </w:tc>
        <w:tc>
          <w:tcPr>
            <w:tcW w:w="4675" w:type="dxa"/>
            <w:gridSpan w:val="9"/>
            <w:vMerge w:val="continue"/>
            <w:tcBorders>
              <w:top w:val="single" w:color="000000" w:sz="4" w:space="0"/>
              <w:left w:val="single" w:color="auto" w:sz="4" w:space="0"/>
              <w:bottom w:val="single" w:color="000000" w:sz="4" w:space="0"/>
              <w:right w:val="single" w:color="auto"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r>
      <w:tr>
        <w:tblPrEx>
          <w:tblCellMar>
            <w:top w:w="0" w:type="dxa"/>
            <w:left w:w="0" w:type="dxa"/>
            <w:bottom w:w="0" w:type="dxa"/>
            <w:right w:w="0" w:type="dxa"/>
          </w:tblCellMar>
        </w:tblPrEx>
        <w:trPr>
          <w:trHeight w:val="497" w:hRule="atLeast"/>
        </w:trPr>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合计</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Arial" w:hAnsi="Arial"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1500000.00</w:t>
            </w: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Arial" w:hAnsi="Arial"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1500000.00</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Arial" w:hAnsi="Arial"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333828.50</w:t>
            </w:r>
          </w:p>
        </w:tc>
        <w:tc>
          <w:tcPr>
            <w:tcW w:w="1125" w:type="dxa"/>
            <w:gridSpan w:val="2"/>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Arial" w:hAnsi="Arial"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333828.50</w:t>
            </w:r>
          </w:p>
        </w:tc>
        <w:tc>
          <w:tcPr>
            <w:tcW w:w="4675" w:type="dxa"/>
            <w:gridSpan w:val="9"/>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22.26%</w:t>
            </w:r>
          </w:p>
        </w:tc>
      </w:tr>
      <w:tr>
        <w:tblPrEx>
          <w:tblCellMar>
            <w:top w:w="0" w:type="dxa"/>
            <w:left w:w="0" w:type="dxa"/>
            <w:bottom w:w="0" w:type="dxa"/>
            <w:right w:w="0" w:type="dxa"/>
          </w:tblCellMar>
        </w:tblPrEx>
        <w:trPr>
          <w:trHeight w:val="497" w:hRule="atLeast"/>
        </w:trPr>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default" w:ascii="Arial" w:hAnsi="Arial" w:cs="Arial"/>
                <w:i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Arial" w:hAnsi="Arial"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1500000.00</w:t>
            </w: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Arial" w:hAnsi="Arial"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1500000.00</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Arial" w:hAnsi="Arial"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333828.50</w:t>
            </w:r>
          </w:p>
        </w:tc>
        <w:tc>
          <w:tcPr>
            <w:tcW w:w="1125" w:type="dxa"/>
            <w:gridSpan w:val="2"/>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Arial" w:hAnsi="Arial"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333828.50</w:t>
            </w:r>
          </w:p>
        </w:tc>
        <w:tc>
          <w:tcPr>
            <w:tcW w:w="4675" w:type="dxa"/>
            <w:gridSpan w:val="9"/>
            <w:tcBorders>
              <w:top w:val="single" w:color="000000"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22.26%</w:t>
            </w:r>
          </w:p>
        </w:tc>
      </w:tr>
      <w:tr>
        <w:tblPrEx>
          <w:tblCellMar>
            <w:top w:w="0" w:type="dxa"/>
            <w:left w:w="0" w:type="dxa"/>
            <w:bottom w:w="0" w:type="dxa"/>
            <w:right w:w="0" w:type="dxa"/>
          </w:tblCellMar>
        </w:tblPrEx>
        <w:trPr>
          <w:trHeight w:val="450" w:hRule="atLeast"/>
        </w:trPr>
        <w:tc>
          <w:tcPr>
            <w:tcW w:w="9235" w:type="dxa"/>
            <w:gridSpan w:val="2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 xml:space="preserve"> 自评价评分表</w:t>
            </w:r>
          </w:p>
        </w:tc>
      </w:tr>
      <w:tr>
        <w:tblPrEx>
          <w:tblCellMar>
            <w:top w:w="0" w:type="dxa"/>
            <w:left w:w="0" w:type="dxa"/>
            <w:bottom w:w="0" w:type="dxa"/>
            <w:right w:w="0" w:type="dxa"/>
          </w:tblCellMar>
        </w:tblPrEx>
        <w:trPr>
          <w:trHeight w:val="20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33CCCC"/>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一级目标</w:t>
            </w: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二级目标</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指标</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权重</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目标值</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业绩值</w:t>
            </w:r>
          </w:p>
        </w:tc>
        <w:tc>
          <w:tcPr>
            <w:tcW w:w="684" w:type="dxa"/>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得分</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公式说明</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数据来源及支持材料（附件）</w:t>
            </w:r>
          </w:p>
        </w:tc>
      </w:tr>
      <w:tr>
        <w:tblPrEx>
          <w:tblCellMar>
            <w:top w:w="0" w:type="dxa"/>
            <w:left w:w="0" w:type="dxa"/>
            <w:bottom w:w="0" w:type="dxa"/>
            <w:right w:w="0" w:type="dxa"/>
          </w:tblCellMar>
        </w:tblPrEx>
        <w:trPr>
          <w:trHeight w:val="542"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投入和管理目标</w:t>
            </w: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投入管理</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5.56</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1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预算资金到位情况</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足额到位</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预算资金到位率=一定时期内实际到位预算资金/一定时期内项目计划投入的资金总额。</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348"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预算执行率</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22.26%</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0.62</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预算执行率=实际拨付金额/预算安排资金总额×100%。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0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财务管理</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8.34</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44"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财务管理制度健全性</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健全</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往来资金结算管理相关规定完整;支出管理相关规定完整；收入管理相关规定完整；现金及银行存款管理相关规定完整;财务监督管理相关规定完整；资产管理相关规定完整；采购管理相关规定完整；预算管理相关规定完整；已制定专项资金管理制度或有适用于本项目的财务管理制度。</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具备要素1得50%，其余要素每符合一项增加6.25%。</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963"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财务监控有效性</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有效</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已制定或具有相应的财务监控机制；采取了相应的财务检查等必要的监控措施或手段，对资金使用进行监控；按项目进行成本核算，以及项目成本差异情况。</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具备一个得分要素业绩值加1。</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181"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资金使用规范性</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合规</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存在截留、挤占、挪用、虚列支出等情况；符合国家财经法规和财务管理制度以及有关专项资金管理办法的规定；符合项目预算批复或合同规定的用途；项目的重大开支经过评估认证；预算资金的拨付有完整的审批程序和手续。</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具备1个要素得20%，缺要素4或缺要素5业绩值为0%。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5"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项目管理</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11.10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094"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项目管理制度健全性</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健全</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项目管理制度（机制）具备可操作性;项目管理制度（机制）内容完整，覆盖明确的工作计划、工作方法、进度计划、人员配置及项目质量要求或标准;具备适用于本项目的合法合规的管理制度、办法或方案。</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具备要素1业绩值加50%，其余要素每符合一项业绩值增加25%。</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111"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政府采购合规性</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合规</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合规</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785"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合同管理完备性</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完备</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合同中有明确、清晰、完整的质量标准或验收标准；合同双方明确、清晰、完整；合同履约期限明确、清晰、完整；合同支付方式和支付时间明确、清晰、完整；合同有明确、清晰、完整的交付方式及地点；合同标的物及价格明确、清晰、完整；合同生效和解除条款明确、清晰、完整；合同违约责任界定明确、清晰、完整；合同双方按照合约定履行。</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2.78</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具备要素1-8得6.25%，具备要素9得50%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786"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项目质量可控性</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2.76</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可控</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已制定或具有相应的项目质量要求或标准;采取了相应的项目质量检查、验收等必需的控制措施或手段;对考核结果及时进行反馈和应用。</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2.76</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具备一个得分要素业绩值加1。</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5"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资产管理</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产出目标</w:t>
            </w: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95"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3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参会人员中学者专家科研人员占比</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3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8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按照既定议程完成活动</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1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在既定时间内完成活动</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5"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9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效果目标</w:t>
            </w: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0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社会认知度和影响力</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好</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环境效益</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9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影响力目标</w:t>
            </w: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5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长效管理</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20" w:hanging="220" w:hangingChars="1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运作</w:t>
            </w:r>
          </w:p>
          <w:p>
            <w:pPr>
              <w:keepNext w:val="0"/>
              <w:keepLines w:val="0"/>
              <w:widowControl/>
              <w:suppressLineNumbers w:val="0"/>
              <w:ind w:left="220" w:hanging="220" w:hangingChars="1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机制</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不断完善</w:t>
            </w: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5"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人力资源</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5"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部门协助</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配套设施</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5"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信息共享</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5"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其它</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23"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w:t>
            </w:r>
          </w:p>
        </w:tc>
        <w:tc>
          <w:tcPr>
            <w:tcW w:w="1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8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67.84</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960" w:hRule="atLeast"/>
        </w:trPr>
        <w:tc>
          <w:tcPr>
            <w:tcW w:w="9165" w:type="dxa"/>
            <w:gridSpan w:val="2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 xml:space="preserve">  综合结论</w:t>
            </w:r>
          </w:p>
        </w:tc>
      </w:tr>
      <w:tr>
        <w:tblPrEx>
          <w:tblCellMar>
            <w:top w:w="0" w:type="dxa"/>
            <w:left w:w="0" w:type="dxa"/>
            <w:bottom w:w="0" w:type="dxa"/>
            <w:right w:w="0" w:type="dxa"/>
          </w:tblCellMar>
        </w:tblPrEx>
        <w:trPr>
          <w:gridAfter w:val="1"/>
          <w:wAfter w:w="70" w:type="dxa"/>
          <w:trHeight w:val="540" w:hRule="atLeast"/>
        </w:trPr>
        <w:tc>
          <w:tcPr>
            <w:tcW w:w="1590"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项目名称</w:t>
            </w:r>
          </w:p>
        </w:tc>
        <w:tc>
          <w:tcPr>
            <w:tcW w:w="7575" w:type="dxa"/>
            <w:gridSpan w:val="16"/>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2019绿色及可持续发展麦积山论坛会议经费</w:t>
            </w:r>
          </w:p>
        </w:tc>
      </w:tr>
      <w:tr>
        <w:tblPrEx>
          <w:shd w:val="clear" w:color="auto" w:fill="auto"/>
          <w:tblCellMar>
            <w:top w:w="0" w:type="dxa"/>
            <w:left w:w="0" w:type="dxa"/>
            <w:bottom w:w="0" w:type="dxa"/>
            <w:right w:w="0" w:type="dxa"/>
          </w:tblCellMar>
        </w:tblPrEx>
        <w:trPr>
          <w:gridAfter w:val="1"/>
          <w:wAfter w:w="70" w:type="dxa"/>
          <w:trHeight w:val="540" w:hRule="atLeast"/>
        </w:trPr>
        <w:tc>
          <w:tcPr>
            <w:tcW w:w="1590"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主管部门</w:t>
            </w:r>
          </w:p>
        </w:tc>
        <w:tc>
          <w:tcPr>
            <w:tcW w:w="3255"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天水市人民政府办公室</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项目单位</w:t>
            </w:r>
          </w:p>
        </w:tc>
        <w:tc>
          <w:tcPr>
            <w:tcW w:w="2430"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天水市绿色催化专家智库办公室</w:t>
            </w:r>
          </w:p>
        </w:tc>
      </w:tr>
      <w:tr>
        <w:tblPrEx>
          <w:tblCellMar>
            <w:top w:w="0" w:type="dxa"/>
            <w:left w:w="0" w:type="dxa"/>
            <w:bottom w:w="0" w:type="dxa"/>
            <w:right w:w="0" w:type="dxa"/>
          </w:tblCellMar>
        </w:tblPrEx>
        <w:trPr>
          <w:gridAfter w:val="1"/>
          <w:wAfter w:w="70" w:type="dxa"/>
          <w:trHeight w:val="540" w:hRule="atLeast"/>
        </w:trPr>
        <w:tc>
          <w:tcPr>
            <w:tcW w:w="1590"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部门负责人</w:t>
            </w:r>
          </w:p>
        </w:tc>
        <w:tc>
          <w:tcPr>
            <w:tcW w:w="3255"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冯建新</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项目负责人</w:t>
            </w:r>
          </w:p>
        </w:tc>
        <w:tc>
          <w:tcPr>
            <w:tcW w:w="2430"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范莉</w:t>
            </w:r>
          </w:p>
        </w:tc>
      </w:tr>
      <w:tr>
        <w:tblPrEx>
          <w:tblCellMar>
            <w:top w:w="0" w:type="dxa"/>
            <w:left w:w="0" w:type="dxa"/>
            <w:bottom w:w="0" w:type="dxa"/>
            <w:right w:w="0" w:type="dxa"/>
          </w:tblCellMar>
        </w:tblPrEx>
        <w:trPr>
          <w:gridAfter w:val="1"/>
          <w:wAfter w:w="70" w:type="dxa"/>
          <w:trHeight w:val="540" w:hRule="atLeast"/>
        </w:trPr>
        <w:tc>
          <w:tcPr>
            <w:tcW w:w="1590"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联系人</w:t>
            </w:r>
          </w:p>
        </w:tc>
        <w:tc>
          <w:tcPr>
            <w:tcW w:w="3255"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高洁</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联系电话</w:t>
            </w:r>
          </w:p>
        </w:tc>
        <w:tc>
          <w:tcPr>
            <w:tcW w:w="2430" w:type="dxa"/>
            <w:gridSpan w:val="3"/>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0938-8319881</w:t>
            </w:r>
          </w:p>
        </w:tc>
      </w:tr>
      <w:tr>
        <w:tblPrEx>
          <w:tblCellMar>
            <w:top w:w="0" w:type="dxa"/>
            <w:left w:w="0" w:type="dxa"/>
            <w:bottom w:w="0" w:type="dxa"/>
            <w:right w:w="0" w:type="dxa"/>
          </w:tblCellMar>
        </w:tblPrEx>
        <w:trPr>
          <w:gridAfter w:val="1"/>
          <w:wAfter w:w="70" w:type="dxa"/>
          <w:trHeight w:val="540" w:hRule="atLeast"/>
        </w:trPr>
        <w:tc>
          <w:tcPr>
            <w:tcW w:w="1590"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计划开始日期</w:t>
            </w:r>
          </w:p>
        </w:tc>
        <w:tc>
          <w:tcPr>
            <w:tcW w:w="3255"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2019-01-01</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计划完成日期</w:t>
            </w:r>
          </w:p>
        </w:tc>
        <w:tc>
          <w:tcPr>
            <w:tcW w:w="2430"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2019-12-31</w:t>
            </w:r>
          </w:p>
        </w:tc>
      </w:tr>
      <w:tr>
        <w:tblPrEx>
          <w:tblCellMar>
            <w:top w:w="0" w:type="dxa"/>
            <w:left w:w="0" w:type="dxa"/>
            <w:bottom w:w="0" w:type="dxa"/>
            <w:right w:w="0" w:type="dxa"/>
          </w:tblCellMar>
        </w:tblPrEx>
        <w:trPr>
          <w:gridAfter w:val="1"/>
          <w:wAfter w:w="70" w:type="dxa"/>
          <w:trHeight w:val="540" w:hRule="atLeast"/>
        </w:trPr>
        <w:tc>
          <w:tcPr>
            <w:tcW w:w="1590"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实际开始日期</w:t>
            </w:r>
          </w:p>
        </w:tc>
        <w:tc>
          <w:tcPr>
            <w:tcW w:w="3255"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2019-01-01</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实际完成日期</w:t>
            </w:r>
          </w:p>
        </w:tc>
        <w:tc>
          <w:tcPr>
            <w:tcW w:w="2430"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2019-12-31</w:t>
            </w:r>
          </w:p>
        </w:tc>
      </w:tr>
      <w:tr>
        <w:tblPrEx>
          <w:tblCellMar>
            <w:top w:w="0" w:type="dxa"/>
            <w:left w:w="0" w:type="dxa"/>
            <w:bottom w:w="0" w:type="dxa"/>
            <w:right w:w="0" w:type="dxa"/>
          </w:tblCellMar>
        </w:tblPrEx>
        <w:trPr>
          <w:gridAfter w:val="1"/>
          <w:wAfter w:w="70" w:type="dxa"/>
          <w:trHeight w:val="540" w:hRule="atLeast"/>
        </w:trPr>
        <w:tc>
          <w:tcPr>
            <w:tcW w:w="1590" w:type="dxa"/>
            <w:gridSpan w:val="4"/>
            <w:tcBorders>
              <w:top w:val="single" w:color="000000" w:sz="4" w:space="0"/>
              <w:left w:val="single" w:color="000000" w:sz="4" w:space="0"/>
              <w:bottom w:val="single" w:color="auto"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评价时段</w:t>
            </w:r>
          </w:p>
        </w:tc>
        <w:tc>
          <w:tcPr>
            <w:tcW w:w="7575" w:type="dxa"/>
            <w:gridSpan w:val="16"/>
            <w:tcBorders>
              <w:top w:val="single" w:color="000000" w:sz="4" w:space="0"/>
              <w:left w:val="single" w:color="000000" w:sz="4" w:space="0"/>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2020-03-05至2020-05-29   </w:t>
            </w:r>
          </w:p>
        </w:tc>
      </w:tr>
      <w:tr>
        <w:tblPrEx>
          <w:shd w:val="clear" w:color="auto" w:fill="auto"/>
          <w:tblCellMar>
            <w:top w:w="0" w:type="dxa"/>
            <w:left w:w="0" w:type="dxa"/>
            <w:bottom w:w="0" w:type="dxa"/>
            <w:right w:w="0" w:type="dxa"/>
          </w:tblCellMar>
        </w:tblPrEx>
        <w:trPr>
          <w:gridAfter w:val="1"/>
          <w:wAfter w:w="70" w:type="dxa"/>
          <w:trHeight w:val="8926" w:hRule="atLeast"/>
        </w:trPr>
        <w:tc>
          <w:tcPr>
            <w:tcW w:w="1590" w:type="dxa"/>
            <w:gridSpan w:val="4"/>
            <w:tcBorders>
              <w:top w:val="single" w:color="auto" w:sz="4" w:space="0"/>
              <w:left w:val="single" w:color="auto"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2"/>
                <w:sz w:val="22"/>
                <w:szCs w:val="22"/>
                <w:u w:val="none"/>
                <w:lang w:val="en-US" w:eastAsia="zh-CN" w:bidi="ar-SA"/>
              </w:rPr>
            </w:pPr>
            <w:r>
              <w:rPr>
                <w:rFonts w:hint="eastAsia" w:ascii="黑体" w:hAnsi="宋体" w:eastAsia="黑体" w:cs="黑体"/>
                <w:i w:val="0"/>
                <w:color w:val="000000"/>
                <w:kern w:val="0"/>
                <w:sz w:val="22"/>
                <w:szCs w:val="22"/>
                <w:u w:val="none"/>
                <w:lang w:val="en-US" w:eastAsia="zh-CN" w:bidi="ar"/>
              </w:rPr>
              <w:t>完成正常的指标</w:t>
            </w:r>
          </w:p>
        </w:tc>
        <w:tc>
          <w:tcPr>
            <w:tcW w:w="7575" w:type="dxa"/>
            <w:gridSpan w:val="16"/>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left="437" w:leftChars="208" w:firstLine="0" w:firstLineChars="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预算资金到位情况(评价目标值：足额到位，业绩值：100%)；</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财务管理制度健全性(评价目标值：健全，业绩值：往来资金结算管理相关</w:t>
            </w: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规定完整；支出管理相关规定完整；收入管理相关规定完整；现金及银行存款管理相关规定完整；财务监督管理相关规定完整；资产管理相关规定完整；采购管理相关规定完整；预算管理相关规定完整；已制定专项资金管理制度或有适用于本项目的财务管理制度)；</w:t>
            </w:r>
          </w:p>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财务监控有效性(评价目标值：有效，业绩值：已制定或具有相应的财务监控机制；采取了相应的财务检查等必要的监控措施或手段，对资金使用进行监控；按项目进行成本核算，以及项目成本差异情况)；</w:t>
            </w:r>
          </w:p>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资金使用规范性(评价目标值：合规，业绩值：不存在截留、挤占、挪用、虚列支出等情况；符合国家财经法规和财务管理制度以及有关专项资金管理办法的规定；符合项目预算批复或合同规定的用途；项目的重大开支经过评估认证;预算资金的拨付有完整的审批程序和手续)；</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项目管理制度健全性(评价目标值：健全，业绩值：项目管理制度（机制）具备可操作性；项目管理制度（机制）内容完整，覆盖明确的工作计划、工作方法、进度计划、人员配置及项目质量要求或标准；具备适用于本项目的合法合规的管理制度、办法或方案)；政府采购合规性(评价目标值：合规，业绩值：合规)；</w:t>
            </w:r>
          </w:p>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合同管理完备性(评价目标值：完备，业绩值：合同中有明确、清晰、完整的质量标准或验收标准；合同双方明确、清晰、完整；合同履约期限明确、清晰、完整；合同支付方式和支付时间明确、清晰、完整；合同有明确、清晰、完整的交付方式及地点；合同标的物及价格明确、清晰、完整；合同生效和解除条款明确、清晰、完整；合同违约责任界定明确、清晰、完整；合同双方按照合约定履行)；</w:t>
            </w:r>
          </w:p>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项目质量可控性(评价目标值：可控，业绩值：已制定或具有相应的项目质量要求或标准；采取了相应的项目质量检查、验收等必需的控制措施或手段；对考核结果及时进行反馈和应用)；</w:t>
            </w:r>
          </w:p>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社会认知度和影响力(评价目标值：好，业绩值：)；</w:t>
            </w:r>
          </w:p>
          <w:p>
            <w:pPr>
              <w:keepNext w:val="0"/>
              <w:keepLines w:val="0"/>
              <w:widowControl/>
              <w:suppressLineNumbers w:val="0"/>
              <w:ind w:firstLine="440" w:firstLineChars="200"/>
              <w:jc w:val="left"/>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运作机制(评价目标值：不断完善，业绩值：)；</w:t>
            </w:r>
          </w:p>
        </w:tc>
      </w:tr>
      <w:tr>
        <w:tblPrEx>
          <w:shd w:val="clear" w:color="auto" w:fill="auto"/>
          <w:tblCellMar>
            <w:top w:w="0" w:type="dxa"/>
            <w:left w:w="0" w:type="dxa"/>
            <w:bottom w:w="0" w:type="dxa"/>
            <w:right w:w="0" w:type="dxa"/>
          </w:tblCellMar>
        </w:tblPrEx>
        <w:trPr>
          <w:gridAfter w:val="1"/>
          <w:wAfter w:w="70" w:type="dxa"/>
          <w:trHeight w:val="2000" w:hRule="atLeast"/>
        </w:trPr>
        <w:tc>
          <w:tcPr>
            <w:tcW w:w="1590" w:type="dxa"/>
            <w:gridSpan w:val="4"/>
            <w:tcBorders>
              <w:top w:val="single" w:color="000000" w:sz="4" w:space="0"/>
              <w:left w:val="single" w:color="auto"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可能存在问题的指标</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预算执行率(评价目标值：70%，业绩值：22.26%)；参会人员中学者专家科研人员占比(评价目标值：50%，业绩值：)；</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按照既定议程完成活动(评价目标值：100%，业绩值：)；</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在既定时间内完成活动(评价目标值：100%，业绩值：)；</w:t>
            </w:r>
          </w:p>
        </w:tc>
      </w:tr>
      <w:tr>
        <w:tblPrEx>
          <w:tblCellMar>
            <w:top w:w="0" w:type="dxa"/>
            <w:left w:w="0" w:type="dxa"/>
            <w:bottom w:w="0" w:type="dxa"/>
            <w:right w:w="0" w:type="dxa"/>
          </w:tblCellMar>
        </w:tblPrEx>
        <w:trPr>
          <w:gridAfter w:val="1"/>
          <w:wAfter w:w="70" w:type="dxa"/>
          <w:trHeight w:val="1162" w:hRule="atLeast"/>
        </w:trPr>
        <w:tc>
          <w:tcPr>
            <w:tcW w:w="1590" w:type="dxa"/>
            <w:gridSpan w:val="4"/>
            <w:tcBorders>
              <w:top w:val="single" w:color="000000" w:sz="4" w:space="0"/>
              <w:left w:val="single" w:color="auto"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原因解释</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因省政府牵头开展麦积山论坛升格工作，2019年未举办绿色及可持续发展麦积山论坛。</w:t>
            </w:r>
          </w:p>
        </w:tc>
      </w:tr>
      <w:tr>
        <w:tblPrEx>
          <w:shd w:val="clear" w:color="auto" w:fill="auto"/>
          <w:tblCellMar>
            <w:top w:w="0" w:type="dxa"/>
            <w:left w:w="0" w:type="dxa"/>
            <w:bottom w:w="0" w:type="dxa"/>
            <w:right w:w="0" w:type="dxa"/>
          </w:tblCellMar>
        </w:tblPrEx>
        <w:trPr>
          <w:gridAfter w:val="1"/>
          <w:wAfter w:w="70" w:type="dxa"/>
          <w:trHeight w:val="545" w:hRule="atLeast"/>
        </w:trPr>
        <w:tc>
          <w:tcPr>
            <w:tcW w:w="1590" w:type="dxa"/>
            <w:gridSpan w:val="4"/>
            <w:tcBorders>
              <w:top w:val="single" w:color="000000" w:sz="4" w:space="0"/>
              <w:left w:val="single" w:color="auto"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项目主要绩效</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650" w:hRule="atLeast"/>
        </w:trPr>
        <w:tc>
          <w:tcPr>
            <w:tcW w:w="1590" w:type="dxa"/>
            <w:gridSpan w:val="4"/>
            <w:tcBorders>
              <w:top w:val="single" w:color="000000" w:sz="4" w:space="0"/>
              <w:left w:val="single" w:color="auto"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评价得分</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67.84</w:t>
            </w:r>
          </w:p>
        </w:tc>
      </w:tr>
      <w:tr>
        <w:tblPrEx>
          <w:tblCellMar>
            <w:top w:w="0" w:type="dxa"/>
            <w:left w:w="0" w:type="dxa"/>
            <w:bottom w:w="0" w:type="dxa"/>
            <w:right w:w="0" w:type="dxa"/>
          </w:tblCellMar>
        </w:tblPrEx>
        <w:trPr>
          <w:gridAfter w:val="1"/>
          <w:wAfter w:w="70" w:type="dxa"/>
          <w:trHeight w:val="810" w:hRule="atLeast"/>
        </w:trPr>
        <w:tc>
          <w:tcPr>
            <w:tcW w:w="1590" w:type="dxa"/>
            <w:gridSpan w:val="4"/>
            <w:tcBorders>
              <w:top w:val="single" w:color="000000" w:sz="4" w:space="0"/>
              <w:left w:val="single" w:color="auto"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主要问题</w:t>
            </w:r>
          </w:p>
        </w:tc>
        <w:tc>
          <w:tcPr>
            <w:tcW w:w="3255" w:type="dxa"/>
            <w:gridSpan w:val="9"/>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22"/>
                <w:szCs w:val="22"/>
                <w:u w:val="none"/>
                <w:lang w:val="en-US" w:eastAsia="zh-CN" w:bidi="ar"/>
              </w:rPr>
              <w:t>预算编制与执行方面</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评价等级</w:t>
            </w:r>
          </w:p>
        </w:tc>
        <w:tc>
          <w:tcPr>
            <w:tcW w:w="2430" w:type="dxa"/>
            <w:gridSpan w:val="3"/>
            <w:tcBorders>
              <w:top w:val="single" w:color="000000" w:sz="4" w:space="0"/>
              <w:left w:val="single" w:color="000000" w:sz="4" w:space="0"/>
              <w:bottom w:val="single" w:color="000000"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合格</w:t>
            </w:r>
          </w:p>
        </w:tc>
      </w:tr>
      <w:tr>
        <w:tblPrEx>
          <w:tblCellMar>
            <w:top w:w="0" w:type="dxa"/>
            <w:left w:w="0" w:type="dxa"/>
            <w:bottom w:w="0" w:type="dxa"/>
            <w:right w:w="0" w:type="dxa"/>
          </w:tblCellMar>
        </w:tblPrEx>
        <w:trPr>
          <w:gridAfter w:val="1"/>
          <w:wAfter w:w="70" w:type="dxa"/>
          <w:trHeight w:val="615" w:hRule="atLeast"/>
        </w:trPr>
        <w:tc>
          <w:tcPr>
            <w:tcW w:w="945" w:type="dxa"/>
            <w:gridSpan w:val="3"/>
            <w:vMerge w:val="restart"/>
            <w:tcBorders>
              <w:top w:val="single" w:color="000000" w:sz="4" w:space="0"/>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整改建议</w:t>
            </w:r>
          </w:p>
        </w:tc>
        <w:tc>
          <w:tcPr>
            <w:tcW w:w="645" w:type="dxa"/>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项目管理方面</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因开展论坛升格工作，2019年绿色及可持续发展麦积山论坛未举办。</w:t>
            </w:r>
          </w:p>
        </w:tc>
      </w:tr>
      <w:tr>
        <w:tblPrEx>
          <w:shd w:val="clear" w:color="auto" w:fill="auto"/>
          <w:tblCellMar>
            <w:top w:w="0" w:type="dxa"/>
            <w:left w:w="0" w:type="dxa"/>
            <w:bottom w:w="0" w:type="dxa"/>
            <w:right w:w="0" w:type="dxa"/>
          </w:tblCellMar>
        </w:tblPrEx>
        <w:trPr>
          <w:gridAfter w:val="1"/>
          <w:wAfter w:w="70" w:type="dxa"/>
          <w:trHeight w:val="760" w:hRule="atLeast"/>
        </w:trPr>
        <w:tc>
          <w:tcPr>
            <w:tcW w:w="945" w:type="dxa"/>
            <w:gridSpan w:val="3"/>
            <w:vMerge w:val="continue"/>
            <w:tcBorders>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项目产出及效益方面</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615" w:hRule="atLeast"/>
        </w:trPr>
        <w:tc>
          <w:tcPr>
            <w:tcW w:w="945" w:type="dxa"/>
            <w:gridSpan w:val="3"/>
            <w:vMerge w:val="continue"/>
            <w:tcBorders>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资金管理方面</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615" w:hRule="atLeast"/>
        </w:trPr>
        <w:tc>
          <w:tcPr>
            <w:tcW w:w="945" w:type="dxa"/>
            <w:gridSpan w:val="3"/>
            <w:vMerge w:val="continue"/>
            <w:tcBorders>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制度或机制建设方面</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615" w:hRule="atLeast"/>
        </w:trPr>
        <w:tc>
          <w:tcPr>
            <w:tcW w:w="945" w:type="dxa"/>
            <w:gridSpan w:val="3"/>
            <w:vMerge w:val="continue"/>
            <w:tcBorders>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满意度方面</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865" w:hRule="atLeast"/>
        </w:trPr>
        <w:tc>
          <w:tcPr>
            <w:tcW w:w="945" w:type="dxa"/>
            <w:gridSpan w:val="3"/>
            <w:vMerge w:val="continue"/>
            <w:tcBorders>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其他方面</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600" w:hRule="atLeast"/>
        </w:trPr>
        <w:tc>
          <w:tcPr>
            <w:tcW w:w="945" w:type="dxa"/>
            <w:gridSpan w:val="3"/>
            <w:vMerge w:val="continue"/>
            <w:tcBorders>
              <w:left w:val="single" w:color="auto" w:sz="4" w:space="0"/>
              <w:bottom w:val="single" w:color="auto"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auto"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预算编制与执行方面</w:t>
            </w:r>
          </w:p>
        </w:tc>
        <w:tc>
          <w:tcPr>
            <w:tcW w:w="7575" w:type="dxa"/>
            <w:gridSpan w:val="16"/>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600" w:hRule="atLeast"/>
        </w:trPr>
        <w:tc>
          <w:tcPr>
            <w:tcW w:w="945" w:type="dxa"/>
            <w:gridSpan w:val="3"/>
            <w:vMerge w:val="restart"/>
            <w:tcBorders>
              <w:top w:val="single" w:color="auto" w:sz="4" w:space="0"/>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整改落实</w:t>
            </w:r>
          </w:p>
        </w:tc>
        <w:tc>
          <w:tcPr>
            <w:tcW w:w="645" w:type="dxa"/>
            <w:tcBorders>
              <w:top w:val="single" w:color="auto"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项目管理方面</w:t>
            </w:r>
          </w:p>
        </w:tc>
        <w:tc>
          <w:tcPr>
            <w:tcW w:w="7575" w:type="dxa"/>
            <w:gridSpan w:val="16"/>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加强与省上各相关单位的衔接，尽快落实论坛升格工作。</w:t>
            </w:r>
          </w:p>
        </w:tc>
      </w:tr>
      <w:tr>
        <w:tblPrEx>
          <w:shd w:val="clear" w:color="auto" w:fill="auto"/>
          <w:tblCellMar>
            <w:top w:w="0" w:type="dxa"/>
            <w:left w:w="0" w:type="dxa"/>
            <w:bottom w:w="0" w:type="dxa"/>
            <w:right w:w="0" w:type="dxa"/>
          </w:tblCellMar>
        </w:tblPrEx>
        <w:trPr>
          <w:gridAfter w:val="1"/>
          <w:wAfter w:w="70" w:type="dxa"/>
          <w:trHeight w:val="534" w:hRule="atLeast"/>
        </w:trPr>
        <w:tc>
          <w:tcPr>
            <w:tcW w:w="945" w:type="dxa"/>
            <w:gridSpan w:val="3"/>
            <w:vMerge w:val="continue"/>
            <w:tcBorders>
              <w:left w:val="single" w:color="auto" w:sz="4" w:space="0"/>
              <w:bottom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auto"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项目产出及效益方面</w:t>
            </w:r>
          </w:p>
        </w:tc>
        <w:tc>
          <w:tcPr>
            <w:tcW w:w="7575" w:type="dxa"/>
            <w:gridSpan w:val="16"/>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441" w:hRule="atLeast"/>
        </w:trPr>
        <w:tc>
          <w:tcPr>
            <w:tcW w:w="945" w:type="dxa"/>
            <w:gridSpan w:val="3"/>
            <w:vMerge w:val="continue"/>
            <w:tcBorders>
              <w:top w:val="single" w:color="auto" w:sz="4" w:space="0"/>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auto"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资金管理方面</w:t>
            </w:r>
          </w:p>
        </w:tc>
        <w:tc>
          <w:tcPr>
            <w:tcW w:w="7575" w:type="dxa"/>
            <w:gridSpan w:val="16"/>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600" w:hRule="atLeast"/>
        </w:trPr>
        <w:tc>
          <w:tcPr>
            <w:tcW w:w="945" w:type="dxa"/>
            <w:gridSpan w:val="3"/>
            <w:vMerge w:val="continue"/>
            <w:tcBorders>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制度或机制建设方面</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600" w:hRule="atLeast"/>
        </w:trPr>
        <w:tc>
          <w:tcPr>
            <w:tcW w:w="945" w:type="dxa"/>
            <w:gridSpan w:val="3"/>
            <w:vMerge w:val="continue"/>
            <w:tcBorders>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满意度方面</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600" w:hRule="atLeast"/>
        </w:trPr>
        <w:tc>
          <w:tcPr>
            <w:tcW w:w="945" w:type="dxa"/>
            <w:gridSpan w:val="3"/>
            <w:vMerge w:val="continue"/>
            <w:tcBorders>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其他方面</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1285" w:hRule="atLeast"/>
        </w:trPr>
        <w:tc>
          <w:tcPr>
            <w:tcW w:w="945" w:type="dxa"/>
            <w:gridSpan w:val="3"/>
            <w:vMerge w:val="continue"/>
            <w:tcBorders>
              <w:left w:val="single" w:color="auto" w:sz="4" w:space="0"/>
              <w:bottom w:val="single" w:color="auto"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auto"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预算编制与执行方面</w:t>
            </w:r>
          </w:p>
        </w:tc>
        <w:tc>
          <w:tcPr>
            <w:tcW w:w="7575" w:type="dxa"/>
            <w:gridSpan w:val="16"/>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606" w:hRule="atLeast"/>
        </w:trPr>
        <w:tc>
          <w:tcPr>
            <w:tcW w:w="945" w:type="dxa"/>
            <w:gridSpan w:val="3"/>
            <w:vMerge w:val="restart"/>
            <w:tcBorders>
              <w:top w:val="single" w:color="auto" w:sz="4" w:space="0"/>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auto"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项目管理方面</w:t>
            </w:r>
          </w:p>
        </w:tc>
        <w:tc>
          <w:tcPr>
            <w:tcW w:w="7575" w:type="dxa"/>
            <w:gridSpan w:val="16"/>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已与省发改部门衔接，积极推动论坛升格工作。</w:t>
            </w:r>
          </w:p>
        </w:tc>
      </w:tr>
      <w:tr>
        <w:tblPrEx>
          <w:shd w:val="clear" w:color="auto" w:fill="auto"/>
          <w:tblCellMar>
            <w:top w:w="0" w:type="dxa"/>
            <w:left w:w="0" w:type="dxa"/>
            <w:bottom w:w="0" w:type="dxa"/>
            <w:right w:w="0" w:type="dxa"/>
          </w:tblCellMar>
        </w:tblPrEx>
        <w:trPr>
          <w:gridAfter w:val="1"/>
          <w:wAfter w:w="70" w:type="dxa"/>
          <w:trHeight w:val="600" w:hRule="atLeast"/>
        </w:trPr>
        <w:tc>
          <w:tcPr>
            <w:tcW w:w="945" w:type="dxa"/>
            <w:gridSpan w:val="3"/>
            <w:vMerge w:val="continue"/>
            <w:tcBorders>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项目产出及效益方面</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571" w:hRule="atLeast"/>
        </w:trPr>
        <w:tc>
          <w:tcPr>
            <w:tcW w:w="945" w:type="dxa"/>
            <w:gridSpan w:val="3"/>
            <w:vMerge w:val="continue"/>
            <w:tcBorders>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资金管理方面</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1435" w:hRule="atLeast"/>
        </w:trPr>
        <w:tc>
          <w:tcPr>
            <w:tcW w:w="945" w:type="dxa"/>
            <w:gridSpan w:val="3"/>
            <w:vMerge w:val="continue"/>
            <w:tcBorders>
              <w:left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制度或机制建设方面</w:t>
            </w:r>
          </w:p>
        </w:tc>
        <w:tc>
          <w:tcPr>
            <w:tcW w:w="7575" w:type="dxa"/>
            <w:gridSpan w:val="16"/>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90" w:hRule="atLeast"/>
        </w:trPr>
        <w:tc>
          <w:tcPr>
            <w:tcW w:w="945" w:type="dxa"/>
            <w:gridSpan w:val="3"/>
            <w:vMerge w:val="continue"/>
            <w:tcBorders>
              <w:left w:val="single" w:color="auto" w:sz="4" w:space="0"/>
              <w:bottom w:val="single" w:color="auto" w:sz="4" w:space="0"/>
              <w:right w:val="single" w:color="000000"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000000" w:sz="4" w:space="0"/>
              <w:left w:val="single" w:color="000000" w:sz="4" w:space="0"/>
              <w:bottom w:val="single" w:color="auto"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满意度方面</w:t>
            </w:r>
          </w:p>
        </w:tc>
        <w:tc>
          <w:tcPr>
            <w:tcW w:w="7575" w:type="dxa"/>
            <w:gridSpan w:val="16"/>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70" w:type="dxa"/>
          <w:trHeight w:val="779" w:hRule="atLeast"/>
        </w:trPr>
        <w:tc>
          <w:tcPr>
            <w:tcW w:w="945" w:type="dxa"/>
            <w:gridSpan w:val="3"/>
            <w:vMerge w:val="continue"/>
            <w:tcBorders>
              <w:top w:val="single" w:color="auto" w:sz="4" w:space="0"/>
              <w:left w:val="single" w:color="auto" w:sz="4" w:space="0"/>
              <w:bottom w:val="single" w:color="auto" w:sz="4" w:space="0"/>
              <w:right w:val="single" w:color="auto" w:sz="4" w:space="0"/>
            </w:tcBorders>
            <w:shd w:val="clear" w:color="auto" w:fill="33CCCC"/>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645" w:type="dxa"/>
            <w:tcBorders>
              <w:top w:val="single" w:color="auto" w:sz="4" w:space="0"/>
              <w:left w:val="single" w:color="auto" w:sz="4" w:space="0"/>
              <w:bottom w:val="single" w:color="auto" w:sz="4" w:space="0"/>
              <w:right w:val="single" w:color="000000" w:sz="4" w:space="0"/>
            </w:tcBorders>
            <w:shd w:val="clear" w:color="auto" w:fill="33CCCC"/>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其他方面</w:t>
            </w:r>
          </w:p>
        </w:tc>
        <w:tc>
          <w:tcPr>
            <w:tcW w:w="7575" w:type="dxa"/>
            <w:gridSpan w:val="16"/>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bl>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jc w:val="both"/>
        <w:textAlignment w:val="auto"/>
        <w:rPr>
          <w:rFonts w:hint="default" w:ascii="Times New Roman" w:hAnsi="Times New Roman" w:eastAsia="黑体" w:cs="Times New Roman"/>
          <w:color w:val="333333"/>
          <w:sz w:val="32"/>
          <w:szCs w:val="32"/>
          <w:lang w:eastAsia="zh-CN"/>
        </w:rPr>
      </w:pPr>
      <w:r>
        <w:rPr>
          <w:rFonts w:hint="default" w:ascii="Times New Roman" w:hAnsi="Times New Roman" w:eastAsia="黑体" w:cs="Times New Roman"/>
          <w:color w:val="333333"/>
          <w:sz w:val="32"/>
          <w:szCs w:val="32"/>
          <w:lang w:eastAsia="zh-CN"/>
        </w:rPr>
        <w:t>十、相关专业名词解释</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1.财政拨款收入：指市级财政当年拨付的资金。</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2.其他收入：指预算单位在“财政拨款收入”之外取得的收入。</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3.上年结转和结余：指单位以前年度尚未完成、结转到本年仍按有关规定继续使用的资金。</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4.年末结转和结余：指单位按有关规定结转到下年或以后年度继续使用的资金。</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5.基本支出：指为保障机构正常运转、完成日常工作任务而发生的人员支出和公用支出。</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6.项目支出：指在基本支出之外为完成特定行政任务和事业发展目标所发生的支出。</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7.“三公”经费财政拨款支出：指通过财政拨款资金安排的因公出国（境）费、公务用车购置及运行费和公务接待费支出。其中，因公出国（境）费指单位工作人员公务出国（境）的往返机票费、住宿费、伙食费、培训费等支出；公务用车购置及运行费指单位购置公务用车支出及公务用车使用过程中所发生的租用费、燃料费、维修费、过路过桥费、保险费等支出；公务接待费指单位按规定开支的各类公务接待（含外宾接待）支出。</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8.机关运行经费：指为保障行政单位运行用于购买货物和服务的各项资金。包括办公及印刷费、邮电费、差旅费、会议费、福利费、日常维修费、专用材料以及一般设备购置费、办公用房水电费、办公用房取暖费、办公用房物业费、公务用车运行维护费以及其他费用。</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9.工资福利支出（支出经济分类科目类级）：反映单位开支的在职职工各类劳动报酬，以及为在职职工缴纳的各项社会保险费等。</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10.商品和服务支出（支出经济分类科目类级）：反映单位</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购买商品和服务的支出（不包括用于购置固定资产的支出、战略性和应急储备支出）。</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sz w:val="32"/>
          <w:szCs w:val="32"/>
        </w:rPr>
        <w:t>11.对个人和家庭的补助（支出经济分类科目类级）：反映用于对个人和家庭的补助支出。</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12.其他资本性支出（支出经济分类科目类级）：反映非各级发展与改革部门集中安排的用于购置固定资产、战略性和应急性储备、土地和无形资产，以及构建基础设施、大型修缮和财政支持企业更新改造所发生的支出。</w:t>
      </w:r>
    </w:p>
    <w:p>
      <w:pPr>
        <w:pStyle w:val="2"/>
        <w:keepNext w:val="0"/>
        <w:keepLines w:val="0"/>
        <w:pageBreakBefore w:val="0"/>
        <w:widowControl/>
        <w:kinsoku/>
        <w:wordWrap/>
        <w:overflowPunct/>
        <w:topLinePunct w:val="0"/>
        <w:autoSpaceDE/>
        <w:autoSpaceDN/>
        <w:bidi w:val="0"/>
        <w:adjustRightInd/>
        <w:snapToGrid/>
        <w:spacing w:beforeAutospacing="0" w:afterAutospacing="0" w:line="576" w:lineRule="exact"/>
        <w:ind w:firstLine="640" w:firstLineChars="200"/>
        <w:textAlignment w:val="auto"/>
        <w:rPr>
          <w:rFonts w:hint="default" w:ascii="Times New Roman" w:hAnsi="Times New Roman" w:eastAsia="仿宋_GB2312" w:cs="Times New Roman"/>
          <w:color w:val="333333"/>
          <w:sz w:val="32"/>
          <w:szCs w:val="32"/>
        </w:rPr>
      </w:pP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附件：</w:t>
      </w:r>
      <w:r>
        <w:rPr>
          <w:rFonts w:hint="default" w:ascii="Times New Roman" w:hAnsi="Times New Roman" w:eastAsia="仿宋_GB2312" w:cs="Times New Roman"/>
          <w:sz w:val="32"/>
          <w:szCs w:val="32"/>
          <w:lang w:val="en-US" w:eastAsia="zh-CN"/>
        </w:rPr>
        <w:t>2019年</w:t>
      </w:r>
      <w:r>
        <w:rPr>
          <w:rFonts w:hint="default" w:ascii="Times New Roman" w:hAnsi="Times New Roman" w:eastAsia="仿宋_GB2312" w:cs="Times New Roman"/>
          <w:sz w:val="32"/>
          <w:szCs w:val="32"/>
          <w:lang w:eastAsia="zh-CN"/>
        </w:rPr>
        <w:t>天水市绿色催化专家智库办公室决算公开表</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CB3CE3"/>
    <w:multiLevelType w:val="singleLevel"/>
    <w:tmpl w:val="2BCB3CE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95D"/>
    <w:rsid w:val="0039757B"/>
    <w:rsid w:val="004A2B30"/>
    <w:rsid w:val="00555A86"/>
    <w:rsid w:val="005C50F1"/>
    <w:rsid w:val="007A50AA"/>
    <w:rsid w:val="007B2ACE"/>
    <w:rsid w:val="008168A8"/>
    <w:rsid w:val="0087166A"/>
    <w:rsid w:val="00AC2F35"/>
    <w:rsid w:val="00C35B88"/>
    <w:rsid w:val="00CE0C1E"/>
    <w:rsid w:val="00D8195D"/>
    <w:rsid w:val="00DD5492"/>
    <w:rsid w:val="00E23A0B"/>
    <w:rsid w:val="00FB05E5"/>
    <w:rsid w:val="037B284D"/>
    <w:rsid w:val="05A10BC2"/>
    <w:rsid w:val="0653428B"/>
    <w:rsid w:val="071E40B0"/>
    <w:rsid w:val="07BE2BB6"/>
    <w:rsid w:val="07D20591"/>
    <w:rsid w:val="086A57CB"/>
    <w:rsid w:val="0ADD3072"/>
    <w:rsid w:val="0B513705"/>
    <w:rsid w:val="0C1E0D41"/>
    <w:rsid w:val="0DBF7200"/>
    <w:rsid w:val="101B020E"/>
    <w:rsid w:val="174B6029"/>
    <w:rsid w:val="17660407"/>
    <w:rsid w:val="17FB15DF"/>
    <w:rsid w:val="192E6308"/>
    <w:rsid w:val="1C35668F"/>
    <w:rsid w:val="1C6E5DFD"/>
    <w:rsid w:val="203A2208"/>
    <w:rsid w:val="22A210B6"/>
    <w:rsid w:val="25302CB3"/>
    <w:rsid w:val="27021130"/>
    <w:rsid w:val="288B17D7"/>
    <w:rsid w:val="2A995DA9"/>
    <w:rsid w:val="2A9E68A4"/>
    <w:rsid w:val="2C765CDF"/>
    <w:rsid w:val="2D2C05E4"/>
    <w:rsid w:val="2D310580"/>
    <w:rsid w:val="2DCD118B"/>
    <w:rsid w:val="30A73E1F"/>
    <w:rsid w:val="32127D2A"/>
    <w:rsid w:val="327F2AB5"/>
    <w:rsid w:val="32B82CB7"/>
    <w:rsid w:val="337C3F92"/>
    <w:rsid w:val="33D3152F"/>
    <w:rsid w:val="34840265"/>
    <w:rsid w:val="36C319D7"/>
    <w:rsid w:val="37A6545A"/>
    <w:rsid w:val="38EA5D65"/>
    <w:rsid w:val="43290565"/>
    <w:rsid w:val="43D0285C"/>
    <w:rsid w:val="46473153"/>
    <w:rsid w:val="46FB4A35"/>
    <w:rsid w:val="47B045F9"/>
    <w:rsid w:val="49B64C4D"/>
    <w:rsid w:val="4A1C347E"/>
    <w:rsid w:val="4CFB0050"/>
    <w:rsid w:val="4F7372D9"/>
    <w:rsid w:val="50025D31"/>
    <w:rsid w:val="50D06641"/>
    <w:rsid w:val="5166042D"/>
    <w:rsid w:val="51BE2865"/>
    <w:rsid w:val="521B545E"/>
    <w:rsid w:val="52B06A6B"/>
    <w:rsid w:val="53C54F19"/>
    <w:rsid w:val="54505DB3"/>
    <w:rsid w:val="55A45713"/>
    <w:rsid w:val="5892312F"/>
    <w:rsid w:val="58A2096B"/>
    <w:rsid w:val="5B4561CF"/>
    <w:rsid w:val="5E375187"/>
    <w:rsid w:val="5E541F8C"/>
    <w:rsid w:val="698C79F9"/>
    <w:rsid w:val="69A26D66"/>
    <w:rsid w:val="6F9970FA"/>
    <w:rsid w:val="70D24DF6"/>
    <w:rsid w:val="721E0240"/>
    <w:rsid w:val="72926405"/>
    <w:rsid w:val="72C3707F"/>
    <w:rsid w:val="75764F7C"/>
    <w:rsid w:val="78C401DC"/>
    <w:rsid w:val="79525E7E"/>
    <w:rsid w:val="79C258D3"/>
    <w:rsid w:val="7B810B90"/>
    <w:rsid w:val="7C562F9D"/>
    <w:rsid w:val="7C6D2AF0"/>
    <w:rsid w:val="7CA7042F"/>
    <w:rsid w:val="7E151011"/>
    <w:rsid w:val="7EDF25D8"/>
    <w:rsid w:val="7F291DD4"/>
    <w:rsid w:val="7F561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 w:type="character" w:styleId="6">
    <w:name w:val="FollowedHyperlink"/>
    <w:basedOn w:val="4"/>
    <w:qFormat/>
    <w:uiPriority w:val="0"/>
    <w:rPr>
      <w:color w:val="000000"/>
      <w:u w:val="none"/>
    </w:rPr>
  </w:style>
  <w:style w:type="character" w:styleId="7">
    <w:name w:val="Hyperlink"/>
    <w:basedOn w:val="4"/>
    <w:qFormat/>
    <w:uiPriority w:val="0"/>
    <w:rPr>
      <w:color w:val="00000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3347</Words>
  <Characters>414</Characters>
  <Lines>3</Lines>
  <Paragraphs>7</Paragraphs>
  <TotalTime>80</TotalTime>
  <ScaleCrop>false</ScaleCrop>
  <LinksUpToDate>false</LinksUpToDate>
  <CharactersWithSpaces>3754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2020-09-13T23:15:00Z</dcterms:created>
  <dc:creator>zkb6</dc:creator>
  <cp:lastModifiedBy>WPS_1682653788</cp:lastModifiedBy>
  <cp:lastPrinted>2020-09-15T16:01:00Z</cp:lastPrinted>
  <dcterms:modified xsi:type="dcterms:W3CDTF">2024-12-03T09:34:09Z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