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jc w:val="center"/>
        <w:rPr>
          <w:rFonts w:hint="eastAsia" w:ascii="方正小标宋_GBK" w:hAnsi="宋体" w:eastAsia="方正小标宋_GBK" w:cs="宋体"/>
          <w:color w:val="000000"/>
          <w:sz w:val="44"/>
          <w:szCs w:val="44"/>
          <w:lang w:val="en-US" w:eastAsia="zh-CN"/>
        </w:rPr>
      </w:pPr>
      <w:r>
        <w:rPr>
          <w:rFonts w:hint="eastAsia" w:ascii="方正小标宋_GBK" w:hAnsi="宋体" w:eastAsia="方正小标宋_GBK" w:cs="宋体"/>
          <w:color w:val="000000"/>
          <w:sz w:val="44"/>
          <w:szCs w:val="44"/>
          <w:lang w:val="en-US" w:eastAsia="zh-CN"/>
        </w:rPr>
        <w:t>天水市供销合作社</w:t>
      </w:r>
    </w:p>
    <w:p>
      <w:pPr>
        <w:shd w:val="clear" w:color="auto" w:fill="FFFFFF"/>
        <w:jc w:val="center"/>
        <w:rPr>
          <w:rFonts w:hint="eastAsia" w:ascii="方正小标宋_GBK" w:hAnsi="宋体" w:eastAsia="方正小标宋_GBK" w:cs="宋体"/>
          <w:color w:val="000000"/>
          <w:sz w:val="44"/>
          <w:szCs w:val="44"/>
        </w:rPr>
      </w:pPr>
      <w:r>
        <w:rPr>
          <w:rFonts w:hint="eastAsia" w:ascii="方正小标宋_GBK" w:hAnsi="宋体" w:eastAsia="方正小标宋_GBK" w:cs="宋体"/>
          <w:color w:val="000000"/>
          <w:sz w:val="44"/>
          <w:szCs w:val="44"/>
        </w:rPr>
        <w:t>2019年度部门决算公开说明</w:t>
      </w:r>
    </w:p>
    <w:p>
      <w:pPr>
        <w:shd w:val="clear" w:color="auto" w:fill="FFFFFF"/>
        <w:spacing w:line="576" w:lineRule="exact"/>
        <w:jc w:val="both"/>
        <w:rPr>
          <w:rFonts w:ascii="Times New Roman" w:hAnsi="Times New Roman" w:eastAsia="仿宋_GB2312"/>
          <w:color w:val="000000"/>
          <w:sz w:val="32"/>
          <w:szCs w:val="32"/>
        </w:rPr>
      </w:pPr>
    </w:p>
    <w:p>
      <w:pPr>
        <w:shd w:val="clear" w:color="auto" w:fill="FFFFFF"/>
        <w:spacing w:line="576" w:lineRule="exact"/>
        <w:ind w:firstLine="640" w:firstLineChars="200"/>
        <w:jc w:val="both"/>
        <w:rPr>
          <w:rFonts w:ascii="黑体" w:hAnsi="黑体" w:eastAsia="黑体"/>
          <w:color w:val="000000"/>
          <w:sz w:val="32"/>
          <w:szCs w:val="32"/>
        </w:rPr>
      </w:pPr>
      <w:r>
        <w:rPr>
          <w:rFonts w:ascii="Times New Roman" w:hAnsi="Times New Roman" w:eastAsia="黑体"/>
          <w:color w:val="000000"/>
          <w:sz w:val="32"/>
          <w:szCs w:val="32"/>
        </w:rPr>
        <w:t> </w:t>
      </w:r>
      <w:r>
        <w:rPr>
          <w:rFonts w:ascii="黑体" w:hAnsi="黑体" w:eastAsia="黑体"/>
          <w:color w:val="000000"/>
          <w:sz w:val="32"/>
          <w:szCs w:val="32"/>
        </w:rPr>
        <w:t>一、单位基本概况</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ascii="Times New Roman" w:hAnsi="Times New Roman" w:eastAsia="仿宋_GB2312"/>
          <w:color w:val="000000"/>
          <w:sz w:val="32"/>
          <w:szCs w:val="32"/>
        </w:rPr>
        <w:t>（一）主要职能</w:t>
      </w:r>
      <w:r>
        <w:rPr>
          <w:rFonts w:hint="eastAsia" w:ascii="Times New Roman" w:hAnsi="Times New Roman" w:eastAsia="仿宋_GB2312"/>
          <w:color w:val="000000"/>
          <w:sz w:val="32"/>
          <w:szCs w:val="32"/>
        </w:rPr>
        <w:t>职责</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eastAsia="仿宋_GB2312"/>
          <w:bCs/>
          <w:sz w:val="32"/>
          <w:szCs w:val="32"/>
        </w:rPr>
      </w:pPr>
      <w:r>
        <w:rPr>
          <w:rFonts w:hint="eastAsia" w:ascii="仿宋_GB2312" w:eastAsia="仿宋_GB2312"/>
          <w:bCs/>
          <w:sz w:val="32"/>
          <w:szCs w:val="32"/>
        </w:rPr>
        <w:t>1、宣传贯彻党</w:t>
      </w:r>
      <w:r>
        <w:rPr>
          <w:rFonts w:hint="eastAsia" w:ascii="仿宋_GB2312" w:eastAsia="仿宋_GB2312"/>
          <w:bCs/>
          <w:sz w:val="32"/>
          <w:szCs w:val="32"/>
          <w:lang w:eastAsia="zh-CN"/>
        </w:rPr>
        <w:t>中央、国务院及省市委、市</w:t>
      </w:r>
      <w:bookmarkStart w:id="0" w:name="_GoBack"/>
      <w:bookmarkEnd w:id="0"/>
      <w:r>
        <w:rPr>
          <w:rFonts w:hint="eastAsia" w:ascii="仿宋_GB2312" w:eastAsia="仿宋_GB2312"/>
          <w:bCs/>
          <w:sz w:val="32"/>
          <w:szCs w:val="32"/>
        </w:rPr>
        <w:t>政府有关农村经济工作的方针</w:t>
      </w:r>
      <w:r>
        <w:rPr>
          <w:rFonts w:hint="eastAsia" w:ascii="仿宋_GB2312" w:eastAsia="仿宋_GB2312"/>
          <w:bCs/>
          <w:sz w:val="32"/>
          <w:szCs w:val="32"/>
          <w:lang w:eastAsia="zh-CN"/>
        </w:rPr>
        <w:t>、</w:t>
      </w:r>
      <w:r>
        <w:rPr>
          <w:rFonts w:hint="eastAsia" w:ascii="仿宋_GB2312" w:eastAsia="仿宋_GB2312"/>
          <w:bCs/>
          <w:sz w:val="32"/>
          <w:szCs w:val="32"/>
        </w:rPr>
        <w:t>政策</w:t>
      </w:r>
      <w:r>
        <w:rPr>
          <w:rFonts w:hint="eastAsia" w:ascii="仿宋_GB2312" w:eastAsia="仿宋_GB2312"/>
          <w:bCs/>
          <w:sz w:val="32"/>
          <w:szCs w:val="32"/>
          <w:lang w:eastAsia="zh-CN"/>
        </w:rPr>
        <w:t>。</w:t>
      </w:r>
    </w:p>
    <w:p>
      <w:pPr>
        <w:keepNext w:val="0"/>
        <w:keepLines w:val="0"/>
        <w:pageBreakBefore w:val="0"/>
        <w:widowControl/>
        <w:kinsoku/>
        <w:wordWrap/>
        <w:overflowPunct/>
        <w:topLinePunct w:val="0"/>
        <w:autoSpaceDE/>
        <w:autoSpaceDN/>
        <w:bidi w:val="0"/>
        <w:adjustRightInd/>
        <w:snapToGrid/>
        <w:spacing w:before="150" w:after="150" w:line="576" w:lineRule="exact"/>
        <w:ind w:firstLine="640" w:firstLineChars="200"/>
        <w:textAlignment w:val="auto"/>
        <w:rPr>
          <w:rFonts w:hint="eastAsia" w:ascii="仿宋_GB2312" w:eastAsia="仿宋_GB2312"/>
          <w:bCs/>
          <w:sz w:val="32"/>
          <w:szCs w:val="32"/>
        </w:rPr>
      </w:pPr>
      <w:r>
        <w:rPr>
          <w:rFonts w:hint="eastAsia" w:ascii="仿宋_GB2312" w:eastAsia="仿宋_GB2312"/>
          <w:bCs/>
          <w:sz w:val="32"/>
          <w:szCs w:val="32"/>
        </w:rPr>
        <w:t>2、研究</w:t>
      </w:r>
      <w:r>
        <w:rPr>
          <w:rFonts w:hint="eastAsia" w:ascii="仿宋_GB2312" w:eastAsia="仿宋_GB2312"/>
          <w:bCs/>
          <w:sz w:val="32"/>
          <w:szCs w:val="32"/>
          <w:lang w:eastAsia="zh-CN"/>
        </w:rPr>
        <w:t>制定全市供销合作经济发展战略和规划，指导全市供销合作社的改革与发展。</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eastAsia="仿宋_GB2312"/>
          <w:bCs/>
          <w:sz w:val="32"/>
          <w:szCs w:val="32"/>
        </w:rPr>
      </w:pPr>
      <w:r>
        <w:rPr>
          <w:rFonts w:hint="eastAsia" w:ascii="仿宋_GB2312" w:eastAsia="仿宋_GB2312"/>
          <w:bCs/>
          <w:sz w:val="32"/>
          <w:szCs w:val="32"/>
        </w:rPr>
        <w:t>3、</w:t>
      </w:r>
      <w:r>
        <w:rPr>
          <w:rFonts w:hint="eastAsia" w:ascii="仿宋_GB2312" w:eastAsia="仿宋_GB2312"/>
          <w:bCs/>
          <w:sz w:val="32"/>
          <w:szCs w:val="32"/>
          <w:lang w:eastAsia="zh-CN"/>
        </w:rPr>
        <w:t>负责全市以农资商品、农村日用消费品、农产品和再生资源为重点，覆盖县、乡、村三级的现代经营服务网络建设。</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eastAsia="仿宋_GB2312"/>
          <w:bCs/>
          <w:sz w:val="32"/>
          <w:szCs w:val="32"/>
        </w:rPr>
      </w:pPr>
      <w:r>
        <w:rPr>
          <w:rFonts w:hint="eastAsia" w:ascii="仿宋_GB2312" w:eastAsia="仿宋_GB2312"/>
          <w:bCs/>
          <w:sz w:val="32"/>
          <w:szCs w:val="32"/>
        </w:rPr>
        <w:t>4、</w:t>
      </w:r>
      <w:r>
        <w:rPr>
          <w:rFonts w:hint="eastAsia" w:ascii="仿宋_GB2312" w:eastAsia="仿宋_GB2312"/>
          <w:bCs/>
          <w:sz w:val="32"/>
          <w:szCs w:val="32"/>
          <w:lang w:eastAsia="zh-CN"/>
        </w:rPr>
        <w:t>积极领办农民专业合作社，做好农民专业合作经济组织建设的组织、协调、指导和服务工作。</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eastAsia="仿宋_GB2312"/>
          <w:bCs/>
          <w:sz w:val="32"/>
          <w:szCs w:val="32"/>
          <w:lang w:eastAsia="zh-CN"/>
        </w:rPr>
      </w:pPr>
      <w:r>
        <w:rPr>
          <w:rFonts w:hint="eastAsia" w:ascii="仿宋_GB2312" w:eastAsia="仿宋_GB2312"/>
          <w:bCs/>
          <w:sz w:val="32"/>
          <w:szCs w:val="32"/>
        </w:rPr>
        <w:t>5、按照市政府</w:t>
      </w:r>
      <w:r>
        <w:rPr>
          <w:rFonts w:hint="eastAsia" w:ascii="仿宋_GB2312" w:eastAsia="仿宋_GB2312"/>
          <w:bCs/>
          <w:sz w:val="32"/>
          <w:szCs w:val="32"/>
          <w:lang w:eastAsia="zh-CN"/>
        </w:rPr>
        <w:t>的</w:t>
      </w:r>
      <w:r>
        <w:rPr>
          <w:rFonts w:hint="eastAsia" w:ascii="仿宋_GB2312" w:eastAsia="仿宋_GB2312"/>
          <w:bCs/>
          <w:sz w:val="32"/>
          <w:szCs w:val="32"/>
        </w:rPr>
        <w:t>授权</w:t>
      </w:r>
      <w:r>
        <w:rPr>
          <w:rFonts w:hint="eastAsia" w:ascii="仿宋_GB2312" w:eastAsia="仿宋_GB2312"/>
          <w:bCs/>
          <w:sz w:val="32"/>
          <w:szCs w:val="32"/>
          <w:lang w:eastAsia="zh-CN"/>
        </w:rPr>
        <w:t>，负责国家化肥、农药、农用物资以及棉花等重要物资的储备、供应和经营管理工作；负责烟花爆竹、废旧物资再生资源的经营管理工作。</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eastAsia="仿宋_GB2312"/>
          <w:bCs/>
          <w:sz w:val="32"/>
          <w:szCs w:val="32"/>
        </w:rPr>
      </w:pPr>
      <w:r>
        <w:rPr>
          <w:rFonts w:hint="eastAsia" w:ascii="仿宋_GB2312" w:eastAsia="仿宋_GB2312"/>
          <w:bCs/>
          <w:sz w:val="32"/>
          <w:szCs w:val="32"/>
        </w:rPr>
        <w:t>6、</w:t>
      </w:r>
      <w:r>
        <w:rPr>
          <w:rFonts w:hint="eastAsia" w:ascii="仿宋_GB2312" w:eastAsia="仿宋_GB2312"/>
          <w:bCs/>
          <w:sz w:val="32"/>
          <w:szCs w:val="32"/>
          <w:lang w:eastAsia="zh-CN"/>
        </w:rPr>
        <w:t>向市政府和有关部门反映农民社员和供销合作社的意见和要求，协议与政府有关部门及其他社会组织的关系，提出扶持供销合作事业发展的政策性建议。</w:t>
      </w:r>
      <w:r>
        <w:rPr>
          <w:rFonts w:hint="eastAsia" w:ascii="仿宋_GB2312" w:eastAsia="仿宋_GB2312"/>
          <w:bCs/>
          <w:sz w:val="32"/>
          <w:szCs w:val="32"/>
        </w:rPr>
        <w:t>7、</w:t>
      </w:r>
      <w:r>
        <w:rPr>
          <w:rFonts w:hint="eastAsia" w:ascii="仿宋_GB2312" w:eastAsia="仿宋_GB2312"/>
          <w:bCs/>
          <w:sz w:val="32"/>
          <w:szCs w:val="32"/>
          <w:lang w:eastAsia="zh-CN"/>
        </w:rPr>
        <w:t>指导全市供销合作社的组织建设，促进基层社加强民主管理，密切同农民的联系，协调社员与社之间的关系，发挥群体联合优势。</w:t>
      </w:r>
    </w:p>
    <w:p>
      <w:pPr>
        <w:keepNext w:val="0"/>
        <w:keepLines w:val="0"/>
        <w:pageBreakBefore w:val="0"/>
        <w:kinsoku/>
        <w:wordWrap/>
        <w:overflowPunct/>
        <w:topLinePunct w:val="0"/>
        <w:autoSpaceDE/>
        <w:autoSpaceDN/>
        <w:bidi w:val="0"/>
        <w:adjustRightInd/>
        <w:snapToGrid/>
        <w:spacing w:line="576" w:lineRule="exact"/>
        <w:ind w:firstLine="651"/>
        <w:textAlignment w:val="auto"/>
        <w:rPr>
          <w:rFonts w:hint="eastAsia" w:ascii="仿宋_GB2312" w:eastAsia="仿宋_GB2312"/>
          <w:sz w:val="32"/>
          <w:szCs w:val="32"/>
          <w:lang w:eastAsia="zh-CN"/>
        </w:rPr>
      </w:pPr>
      <w:r>
        <w:rPr>
          <w:rFonts w:hint="eastAsia" w:ascii="仿宋_GB2312" w:eastAsia="仿宋_GB2312"/>
          <w:sz w:val="32"/>
          <w:szCs w:val="32"/>
        </w:rPr>
        <w:t>8、</w:t>
      </w:r>
      <w:r>
        <w:rPr>
          <w:rFonts w:hint="eastAsia" w:ascii="仿宋_GB2312" w:eastAsia="仿宋_GB2312"/>
          <w:sz w:val="32"/>
          <w:szCs w:val="32"/>
          <w:lang w:eastAsia="zh-CN"/>
        </w:rPr>
        <w:t>指导全市供销合作社系统的人才开发和干部职工教育培训工作。</w:t>
      </w:r>
    </w:p>
    <w:p>
      <w:pPr>
        <w:keepNext w:val="0"/>
        <w:keepLines w:val="0"/>
        <w:pageBreakBefore w:val="0"/>
        <w:kinsoku/>
        <w:wordWrap/>
        <w:overflowPunct/>
        <w:topLinePunct w:val="0"/>
        <w:autoSpaceDE/>
        <w:autoSpaceDN/>
        <w:bidi w:val="0"/>
        <w:adjustRightInd/>
        <w:snapToGrid/>
        <w:spacing w:line="576" w:lineRule="exact"/>
        <w:ind w:firstLine="651"/>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9、管理运营本级社有资产，对直属企业单位履行出资人的职责；指导监督</w:t>
      </w:r>
      <w:r>
        <w:rPr>
          <w:rFonts w:hint="eastAsia" w:ascii="仿宋_GB2312" w:eastAsia="仿宋_GB2312"/>
          <w:sz w:val="32"/>
          <w:szCs w:val="32"/>
          <w:lang w:val="en-US" w:eastAsia="zh-CN"/>
        </w:rPr>
        <w:tab/>
      </w:r>
      <w:r>
        <w:rPr>
          <w:rFonts w:hint="eastAsia" w:ascii="仿宋_GB2312" w:eastAsia="仿宋_GB2312"/>
          <w:sz w:val="32"/>
          <w:szCs w:val="32"/>
          <w:lang w:val="en-US" w:eastAsia="zh-CN"/>
        </w:rPr>
        <w:t>全市各级供销合作社对社有资产的保值增值和管理，维护各级供销合作社的合法权益。</w:t>
      </w:r>
    </w:p>
    <w:p>
      <w:pPr>
        <w:keepNext w:val="0"/>
        <w:keepLines w:val="0"/>
        <w:pageBreakBefore w:val="0"/>
        <w:kinsoku/>
        <w:wordWrap/>
        <w:overflowPunct/>
        <w:topLinePunct w:val="0"/>
        <w:autoSpaceDE/>
        <w:autoSpaceDN/>
        <w:bidi w:val="0"/>
        <w:adjustRightInd/>
        <w:snapToGrid/>
        <w:spacing w:line="576" w:lineRule="exact"/>
        <w:ind w:firstLine="651"/>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10、代表供销系统经济组织对外开展经济贸易、技术交流与合作。</w:t>
      </w:r>
    </w:p>
    <w:p>
      <w:pPr>
        <w:shd w:val="clear" w:color="auto" w:fill="FFFFFF"/>
        <w:spacing w:line="576"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11、承办市委、市政府和省供销合作社交办的其他事项。</w:t>
      </w:r>
    </w:p>
    <w:p>
      <w:pPr>
        <w:shd w:val="clear" w:color="auto" w:fill="FFFFFF"/>
        <w:spacing w:line="576" w:lineRule="exact"/>
        <w:ind w:firstLine="320" w:firstLineChars="100"/>
        <w:jc w:val="both"/>
        <w:rPr>
          <w:rFonts w:ascii="Times New Roman" w:hAnsi="Times New Roman" w:eastAsia="仿宋_GB2312"/>
          <w:bCs/>
          <w:color w:val="000000"/>
          <w:sz w:val="32"/>
          <w:szCs w:val="32"/>
        </w:rPr>
      </w:pPr>
      <w:r>
        <w:rPr>
          <w:rFonts w:ascii="Times New Roman" w:hAnsi="Times New Roman" w:eastAsia="仿宋_GB2312"/>
          <w:color w:val="000000"/>
          <w:sz w:val="32"/>
          <w:szCs w:val="32"/>
        </w:rPr>
        <w:t>（二）机构设置情况（</w:t>
      </w:r>
      <w:r>
        <w:rPr>
          <w:rFonts w:ascii="Times New Roman" w:hAnsi="Times New Roman" w:eastAsia="仿宋_GB2312"/>
          <w:bCs/>
          <w:color w:val="000000"/>
          <w:sz w:val="32"/>
          <w:szCs w:val="32"/>
        </w:rPr>
        <w:t>部门决算单位构成）</w:t>
      </w:r>
    </w:p>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ascii="Times New Roman" w:hAnsi="Times New Roman" w:eastAsia="仿宋_GB2312"/>
          <w:bCs/>
          <w:color w:val="000000"/>
          <w:sz w:val="32"/>
          <w:szCs w:val="32"/>
        </w:rPr>
      </w:pPr>
      <w:r>
        <w:rPr>
          <w:rFonts w:hint="eastAsia" w:ascii="仿宋_GB2312" w:eastAsia="仿宋_GB2312"/>
          <w:sz w:val="32"/>
          <w:szCs w:val="32"/>
          <w:lang w:eastAsia="zh-CN"/>
        </w:rPr>
        <w:t>市供销社为</w:t>
      </w:r>
      <w:r>
        <w:rPr>
          <w:rFonts w:hint="eastAsia" w:ascii="仿宋_GB2312" w:eastAsia="仿宋_GB2312"/>
          <w:sz w:val="32"/>
          <w:szCs w:val="32"/>
        </w:rPr>
        <w:t>财政全额</w:t>
      </w:r>
      <w:r>
        <w:rPr>
          <w:rFonts w:hint="eastAsia" w:ascii="仿宋_GB2312" w:eastAsia="仿宋_GB2312"/>
          <w:sz w:val="32"/>
          <w:szCs w:val="32"/>
          <w:lang w:eastAsia="zh-CN"/>
        </w:rPr>
        <w:t>拨款</w:t>
      </w:r>
      <w:r>
        <w:rPr>
          <w:rFonts w:hint="eastAsia" w:ascii="仿宋_GB2312" w:eastAsia="仿宋_GB2312"/>
          <w:sz w:val="32"/>
          <w:szCs w:val="32"/>
        </w:rPr>
        <w:t>正县级</w:t>
      </w:r>
      <w:r>
        <w:rPr>
          <w:rFonts w:hint="eastAsia" w:ascii="仿宋_GB2312" w:eastAsia="仿宋_GB2312"/>
          <w:sz w:val="32"/>
          <w:szCs w:val="32"/>
          <w:lang w:eastAsia="zh-CN"/>
        </w:rPr>
        <w:t>参照公务员管理事业</w:t>
      </w:r>
      <w:r>
        <w:rPr>
          <w:rFonts w:hint="eastAsia" w:ascii="仿宋_GB2312" w:eastAsia="仿宋_GB2312"/>
          <w:sz w:val="32"/>
          <w:szCs w:val="32"/>
        </w:rPr>
        <w:t>单位</w:t>
      </w:r>
      <w:r>
        <w:rPr>
          <w:rFonts w:hint="eastAsia" w:ascii="仿宋_GB2312" w:eastAsia="仿宋_GB2312"/>
          <w:sz w:val="32"/>
          <w:szCs w:val="32"/>
          <w:lang w:eastAsia="zh-CN"/>
        </w:rPr>
        <w:t>。内设</w:t>
      </w:r>
      <w:r>
        <w:rPr>
          <w:rFonts w:hint="eastAsia" w:ascii="仿宋_GB2312" w:eastAsia="仿宋_GB2312"/>
          <w:sz w:val="32"/>
          <w:szCs w:val="32"/>
          <w:lang w:val="en-US" w:eastAsia="zh-CN"/>
        </w:rPr>
        <w:t>5个科室，即办公室、综合业务科、合作指导科、财务审计科、产业科技科。</w:t>
      </w:r>
      <w:r>
        <w:rPr>
          <w:rFonts w:hint="eastAsia" w:ascii="仿宋_GB2312" w:eastAsia="仿宋_GB2312"/>
          <w:sz w:val="32"/>
          <w:szCs w:val="32"/>
        </w:rPr>
        <w:t>编制2</w:t>
      </w:r>
      <w:r>
        <w:rPr>
          <w:rFonts w:hint="eastAsia" w:ascii="仿宋_GB2312" w:eastAsia="仿宋_GB2312"/>
          <w:sz w:val="32"/>
          <w:szCs w:val="32"/>
          <w:lang w:val="en-US" w:eastAsia="zh-CN"/>
        </w:rPr>
        <w:t>5名。</w:t>
      </w:r>
      <w:r>
        <w:rPr>
          <w:rFonts w:hint="eastAsia" w:ascii="仿宋_GB2312" w:eastAsia="仿宋_GB2312"/>
          <w:sz w:val="32"/>
          <w:szCs w:val="32"/>
        </w:rPr>
        <w:t>其中：</w:t>
      </w:r>
      <w:r>
        <w:rPr>
          <w:rFonts w:hint="eastAsia" w:ascii="仿宋_GB2312" w:eastAsia="仿宋_GB2312"/>
          <w:sz w:val="32"/>
          <w:szCs w:val="32"/>
          <w:lang w:eastAsia="zh-CN"/>
        </w:rPr>
        <w:t>主任</w:t>
      </w:r>
      <w:r>
        <w:rPr>
          <w:rFonts w:hint="eastAsia" w:ascii="仿宋_GB2312" w:eastAsia="仿宋_GB2312"/>
          <w:sz w:val="32"/>
          <w:szCs w:val="32"/>
          <w:lang w:val="en-US" w:eastAsia="zh-CN"/>
        </w:rPr>
        <w:t>1名、副主任3名；科级领导职数10名。截止目前实有人数21人</w:t>
      </w:r>
      <w:r>
        <w:rPr>
          <w:rFonts w:hint="eastAsia" w:ascii="仿宋_GB2312" w:eastAsia="仿宋_GB2312"/>
          <w:sz w:val="32"/>
          <w:szCs w:val="32"/>
        </w:rPr>
        <w:t>。</w:t>
      </w:r>
    </w:p>
    <w:p>
      <w:pPr>
        <w:shd w:val="clear" w:color="auto" w:fill="FFFFFF"/>
        <w:spacing w:line="576" w:lineRule="exact"/>
        <w:ind w:firstLine="627" w:firstLineChars="196"/>
        <w:jc w:val="both"/>
        <w:rPr>
          <w:rFonts w:ascii="黑体" w:hAnsi="黑体" w:eastAsia="黑体"/>
          <w:color w:val="000000"/>
          <w:sz w:val="32"/>
          <w:szCs w:val="32"/>
        </w:rPr>
      </w:pPr>
      <w:r>
        <w:rPr>
          <w:rFonts w:ascii="黑体" w:hAnsi="黑体" w:eastAsia="黑体"/>
          <w:color w:val="000000"/>
          <w:sz w:val="32"/>
          <w:szCs w:val="32"/>
        </w:rPr>
        <w:t>二、</w:t>
      </w:r>
      <w:r>
        <w:rPr>
          <w:rFonts w:hint="eastAsia" w:ascii="黑体" w:hAnsi="黑体" w:eastAsia="黑体"/>
          <w:color w:val="000000"/>
          <w:sz w:val="32"/>
          <w:szCs w:val="32"/>
          <w:lang w:val="en-US" w:eastAsia="zh-CN"/>
        </w:rPr>
        <w:t>天水市供销合作社</w:t>
      </w:r>
      <w:r>
        <w:rPr>
          <w:rFonts w:hint="eastAsia" w:ascii="黑体" w:hAnsi="黑体" w:eastAsia="黑体"/>
          <w:color w:val="000000"/>
          <w:sz w:val="32"/>
          <w:szCs w:val="32"/>
        </w:rPr>
        <w:t>2019</w:t>
      </w:r>
      <w:r>
        <w:rPr>
          <w:rFonts w:ascii="黑体" w:hAnsi="黑体" w:eastAsia="黑体"/>
          <w:color w:val="000000"/>
          <w:sz w:val="32"/>
          <w:szCs w:val="32"/>
        </w:rPr>
        <w:t>年度部门决算情况说明</w:t>
      </w:r>
    </w:p>
    <w:p>
      <w:pPr>
        <w:shd w:val="clear" w:color="auto" w:fill="FFFFFF"/>
        <w:spacing w:line="576" w:lineRule="exact"/>
        <w:ind w:firstLine="616" w:firstLineChars="200"/>
        <w:jc w:val="both"/>
        <w:rPr>
          <w:rFonts w:hint="eastAsia" w:ascii="楷体_GB2312" w:hAnsi="Times New Roman" w:eastAsia="楷体_GB2312"/>
          <w:color w:val="000000"/>
          <w:spacing w:val="-6"/>
          <w:sz w:val="32"/>
          <w:szCs w:val="32"/>
        </w:rPr>
      </w:pPr>
      <w:r>
        <w:rPr>
          <w:rFonts w:hint="eastAsia" w:ascii="楷体_GB2312" w:hAnsi="Times New Roman" w:eastAsia="楷体_GB2312"/>
          <w:color w:val="000000"/>
          <w:spacing w:val="-6"/>
          <w:sz w:val="32"/>
          <w:szCs w:val="32"/>
        </w:rPr>
        <w:t>（一）收入决算情况</w:t>
      </w:r>
    </w:p>
    <w:p>
      <w:pPr>
        <w:shd w:val="clear" w:color="auto" w:fill="FFFFFF"/>
        <w:spacing w:line="576" w:lineRule="exact"/>
        <w:ind w:firstLine="616" w:firstLineChars="200"/>
        <w:jc w:val="both"/>
        <w:rPr>
          <w:rFonts w:ascii="Times New Roman" w:hAnsi="Times New Roman" w:eastAsia="仿宋_GB2312"/>
          <w:color w:val="000000"/>
          <w:spacing w:val="-6"/>
          <w:sz w:val="32"/>
          <w:szCs w:val="32"/>
        </w:rPr>
      </w:pPr>
      <w:r>
        <w:rPr>
          <w:rFonts w:hint="eastAsia" w:ascii="Times New Roman" w:hAnsi="Times New Roman" w:eastAsia="仿宋_GB2312"/>
          <w:color w:val="000000"/>
          <w:spacing w:val="-6"/>
          <w:sz w:val="32"/>
          <w:szCs w:val="32"/>
        </w:rPr>
        <w:t>2019</w:t>
      </w:r>
      <w:r>
        <w:rPr>
          <w:rFonts w:ascii="Times New Roman" w:hAnsi="Times New Roman" w:eastAsia="仿宋_GB2312"/>
          <w:color w:val="000000"/>
          <w:spacing w:val="-6"/>
          <w:sz w:val="32"/>
          <w:szCs w:val="32"/>
        </w:rPr>
        <w:t>年度，收入总计为</w:t>
      </w:r>
      <w:r>
        <w:rPr>
          <w:rFonts w:hint="eastAsia" w:ascii="Times New Roman" w:hAnsi="Times New Roman" w:eastAsia="仿宋_GB2312"/>
          <w:color w:val="000000"/>
          <w:spacing w:val="-6"/>
          <w:sz w:val="32"/>
          <w:szCs w:val="32"/>
        </w:rPr>
        <w:t>1631.37</w:t>
      </w:r>
      <w:r>
        <w:rPr>
          <w:rFonts w:ascii="Times New Roman" w:hAnsi="Times New Roman" w:eastAsia="仿宋_GB2312"/>
          <w:color w:val="000000"/>
          <w:spacing w:val="-6"/>
          <w:sz w:val="32"/>
          <w:szCs w:val="32"/>
        </w:rPr>
        <w:t>万元，较</w:t>
      </w:r>
      <w:r>
        <w:rPr>
          <w:rFonts w:hint="eastAsia" w:ascii="Times New Roman" w:hAnsi="Times New Roman" w:eastAsia="仿宋_GB2312"/>
          <w:color w:val="000000"/>
          <w:spacing w:val="-6"/>
          <w:sz w:val="32"/>
          <w:szCs w:val="32"/>
        </w:rPr>
        <w:t>2018年度决算数据增加</w:t>
      </w:r>
      <w:r>
        <w:rPr>
          <w:rFonts w:hint="eastAsia" w:ascii="Times New Roman" w:hAnsi="Times New Roman" w:eastAsia="仿宋_GB2312"/>
          <w:color w:val="000000"/>
          <w:spacing w:val="-6"/>
          <w:sz w:val="32"/>
          <w:szCs w:val="32"/>
          <w:lang w:val="en-US" w:eastAsia="zh-CN"/>
        </w:rPr>
        <w:t>1067.19</w:t>
      </w:r>
      <w:r>
        <w:rPr>
          <w:rFonts w:hint="eastAsia" w:ascii="Times New Roman" w:hAnsi="Times New Roman" w:eastAsia="仿宋_GB2312"/>
          <w:color w:val="000000"/>
          <w:spacing w:val="-6"/>
          <w:sz w:val="32"/>
          <w:szCs w:val="32"/>
        </w:rPr>
        <w:t>万元，增长</w:t>
      </w:r>
      <w:r>
        <w:rPr>
          <w:rFonts w:hint="eastAsia" w:ascii="Times New Roman" w:hAnsi="Times New Roman" w:eastAsia="仿宋_GB2312"/>
          <w:color w:val="000000"/>
          <w:spacing w:val="-6"/>
          <w:sz w:val="32"/>
          <w:szCs w:val="32"/>
          <w:lang w:val="en-US" w:eastAsia="zh-CN"/>
        </w:rPr>
        <w:t>65.42</w:t>
      </w:r>
      <w:r>
        <w:rPr>
          <w:rFonts w:hint="eastAsia" w:ascii="Times New Roman" w:hAnsi="Times New Roman" w:eastAsia="仿宋_GB2312"/>
          <w:color w:val="000000"/>
          <w:spacing w:val="-6"/>
          <w:sz w:val="32"/>
          <w:szCs w:val="32"/>
        </w:rPr>
        <w:t>%。</w:t>
      </w:r>
      <w:r>
        <w:rPr>
          <w:rFonts w:ascii="Times New Roman" w:hAnsi="Times New Roman" w:eastAsia="仿宋_GB2312"/>
          <w:color w:val="000000"/>
          <w:spacing w:val="-6"/>
          <w:sz w:val="32"/>
          <w:szCs w:val="32"/>
        </w:rPr>
        <w:t>其中：</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1.财政拨款收入</w:t>
      </w:r>
      <w:r>
        <w:rPr>
          <w:rFonts w:hint="eastAsia" w:ascii="Times New Roman" w:hAnsi="Times New Roman" w:eastAsia="仿宋_GB2312"/>
          <w:color w:val="000000"/>
          <w:sz w:val="32"/>
          <w:szCs w:val="32"/>
        </w:rPr>
        <w:t>1631.37</w:t>
      </w:r>
      <w:r>
        <w:rPr>
          <w:rFonts w:ascii="Times New Roman" w:hAnsi="Times New Roman" w:eastAsia="仿宋_GB2312"/>
          <w:color w:val="000000"/>
          <w:sz w:val="32"/>
          <w:szCs w:val="32"/>
        </w:rPr>
        <w:t>万元，为</w:t>
      </w:r>
      <w:r>
        <w:rPr>
          <w:rFonts w:hint="eastAsia" w:ascii="Times New Roman" w:hAnsi="Times New Roman" w:eastAsia="仿宋_GB2312"/>
          <w:color w:val="000000"/>
          <w:sz w:val="32"/>
          <w:szCs w:val="32"/>
          <w:lang w:val="en-US" w:eastAsia="zh-CN"/>
        </w:rPr>
        <w:t>一般公共预算财政拨款</w:t>
      </w:r>
      <w:r>
        <w:rPr>
          <w:rFonts w:ascii="Times New Roman" w:hAnsi="Times New Roman" w:eastAsia="仿宋_GB2312"/>
          <w:color w:val="000000"/>
          <w:sz w:val="32"/>
          <w:szCs w:val="32"/>
        </w:rPr>
        <w:t>资金</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占收入总计的</w:t>
      </w:r>
      <w:r>
        <w:rPr>
          <w:rFonts w:hint="eastAsia" w:ascii="Times New Roman" w:hAnsi="Times New Roman" w:eastAsia="仿宋_GB2312"/>
          <w:color w:val="000000"/>
          <w:sz w:val="32"/>
          <w:szCs w:val="32"/>
          <w:lang w:val="en-US" w:eastAsia="zh-CN"/>
        </w:rPr>
        <w:t>100</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 xml:space="preserve"> 年度决算数增加</w:t>
      </w:r>
      <w:r>
        <w:rPr>
          <w:rFonts w:hint="eastAsia" w:ascii="Times New Roman" w:hAnsi="Times New Roman" w:eastAsia="仿宋_GB2312"/>
          <w:color w:val="000000"/>
          <w:sz w:val="32"/>
          <w:szCs w:val="32"/>
          <w:lang w:val="en-US" w:eastAsia="zh-CN"/>
        </w:rPr>
        <w:t>1067.19</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65.42</w:t>
      </w:r>
      <w:r>
        <w:rPr>
          <w:rFonts w:ascii="Times New Roman" w:hAnsi="Times New Roman" w:eastAsia="仿宋_GB2312"/>
          <w:color w:val="000000"/>
          <w:sz w:val="32"/>
          <w:szCs w:val="32"/>
        </w:rPr>
        <w:t>%，主要是</w:t>
      </w:r>
      <w:r>
        <w:rPr>
          <w:rFonts w:hint="eastAsia" w:ascii="Times New Roman" w:hAnsi="Times New Roman" w:eastAsia="仿宋_GB2312"/>
          <w:color w:val="000000"/>
          <w:sz w:val="32"/>
          <w:szCs w:val="32"/>
          <w:lang w:val="en-US" w:eastAsia="zh-CN"/>
        </w:rPr>
        <w:t>增加了项目资金的</w:t>
      </w:r>
      <w:r>
        <w:rPr>
          <w:rFonts w:ascii="Times New Roman" w:hAnsi="Times New Roman" w:eastAsia="仿宋_GB2312"/>
          <w:color w:val="000000"/>
          <w:sz w:val="32"/>
          <w:szCs w:val="32"/>
        </w:rPr>
        <w:t>原因。</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2.上级补助收入</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lang w:val="en-US" w:eastAsia="zh-CN"/>
        </w:rPr>
        <w:t>2018年度也无此项收入</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3.事业收入</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lang w:val="en-US" w:eastAsia="zh-CN"/>
        </w:rPr>
        <w:t>2018年度也无此项收入</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4.其他收入</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lang w:val="en-US" w:eastAsia="zh-CN"/>
        </w:rPr>
        <w:t>2018年度也无此项收入</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5.用事业基金弥补收支差额</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lang w:val="en-US" w:eastAsia="zh-CN"/>
        </w:rPr>
        <w:t>2018年度也无此项收入</w:t>
      </w:r>
      <w:r>
        <w:rPr>
          <w:rFonts w:ascii="Times New Roman" w:hAnsi="Times New Roman" w:eastAsia="仿宋_GB2312"/>
          <w:color w:val="000000"/>
          <w:sz w:val="32"/>
          <w:szCs w:val="32"/>
        </w:rPr>
        <w:t>。</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6.上年结转和结余</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p>
    <w:p>
      <w:pPr>
        <w:shd w:val="clear" w:color="auto" w:fill="FFFFFF"/>
        <w:spacing w:line="576" w:lineRule="exact"/>
        <w:ind w:firstLine="640" w:firstLineChars="200"/>
        <w:jc w:val="both"/>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（二）支出决算情况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lang w:val="en-US" w:eastAsia="zh-CN"/>
        </w:rPr>
        <w:t>天水市供销合作社</w:t>
      </w:r>
      <w:r>
        <w:rPr>
          <w:rFonts w:ascii="Times New Roman" w:hAnsi="Times New Roman" w:eastAsia="仿宋_GB2312"/>
          <w:color w:val="000000"/>
          <w:sz w:val="32"/>
          <w:szCs w:val="32"/>
        </w:rPr>
        <w:t>支出为</w:t>
      </w:r>
      <w:r>
        <w:rPr>
          <w:rFonts w:hint="eastAsia" w:ascii="Times New Roman" w:hAnsi="Times New Roman" w:eastAsia="仿宋_GB2312"/>
          <w:color w:val="000000"/>
          <w:sz w:val="32"/>
          <w:szCs w:val="32"/>
        </w:rPr>
        <w:t>1631.37</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w:t>
      </w:r>
      <w:r>
        <w:rPr>
          <w:rFonts w:ascii="Times New Roman" w:hAnsi="Times New Roman" w:eastAsia="仿宋_GB2312"/>
          <w:color w:val="000000"/>
          <w:spacing w:val="-6"/>
          <w:sz w:val="32"/>
          <w:szCs w:val="32"/>
        </w:rPr>
        <w:t>较</w:t>
      </w:r>
      <w:r>
        <w:rPr>
          <w:rFonts w:hint="eastAsia" w:ascii="Times New Roman" w:hAnsi="Times New Roman" w:eastAsia="仿宋_GB2312"/>
          <w:color w:val="000000"/>
          <w:spacing w:val="-6"/>
          <w:sz w:val="32"/>
          <w:szCs w:val="32"/>
        </w:rPr>
        <w:t>2018年度决算数据增加</w:t>
      </w:r>
      <w:r>
        <w:rPr>
          <w:rFonts w:hint="eastAsia" w:ascii="Times New Roman" w:hAnsi="Times New Roman" w:eastAsia="仿宋_GB2312"/>
          <w:color w:val="000000"/>
          <w:spacing w:val="-6"/>
          <w:sz w:val="32"/>
          <w:szCs w:val="32"/>
          <w:lang w:val="en-US" w:eastAsia="zh-CN"/>
        </w:rPr>
        <w:t>1067.19</w:t>
      </w:r>
      <w:r>
        <w:rPr>
          <w:rFonts w:hint="eastAsia" w:ascii="Times New Roman" w:hAnsi="Times New Roman" w:eastAsia="仿宋_GB2312"/>
          <w:color w:val="000000"/>
          <w:spacing w:val="-6"/>
          <w:sz w:val="32"/>
          <w:szCs w:val="32"/>
        </w:rPr>
        <w:t>万元，增长</w:t>
      </w:r>
      <w:r>
        <w:rPr>
          <w:rFonts w:hint="eastAsia" w:ascii="Times New Roman" w:hAnsi="Times New Roman" w:eastAsia="仿宋_GB2312"/>
          <w:color w:val="000000"/>
          <w:spacing w:val="-6"/>
          <w:sz w:val="32"/>
          <w:szCs w:val="32"/>
          <w:lang w:val="en-US" w:eastAsia="zh-CN"/>
        </w:rPr>
        <w:t>65.42</w:t>
      </w:r>
      <w:r>
        <w:rPr>
          <w:rFonts w:hint="eastAsia" w:ascii="Times New Roman" w:hAnsi="Times New Roman" w:eastAsia="仿宋_GB2312"/>
          <w:color w:val="000000"/>
          <w:spacing w:val="-6"/>
          <w:sz w:val="32"/>
          <w:szCs w:val="32"/>
        </w:rPr>
        <w:t>%。</w:t>
      </w:r>
      <w:r>
        <w:rPr>
          <w:rFonts w:ascii="Times New Roman" w:hAnsi="Times New Roman" w:eastAsia="仿宋_GB2312"/>
          <w:color w:val="000000"/>
          <w:sz w:val="32"/>
          <w:szCs w:val="32"/>
        </w:rPr>
        <w:t>其中：</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基本支出</w:t>
      </w:r>
      <w:r>
        <w:rPr>
          <w:rFonts w:hint="eastAsia" w:ascii="Times New Roman" w:hAnsi="Times New Roman" w:eastAsia="仿宋_GB2312"/>
          <w:color w:val="000000"/>
          <w:sz w:val="32"/>
          <w:szCs w:val="32"/>
          <w:lang w:val="en-US" w:eastAsia="zh-CN"/>
        </w:rPr>
        <w:t>285.18</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17.48</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 xml:space="preserve"> 年度决算数减少</w:t>
      </w:r>
      <w:r>
        <w:rPr>
          <w:rFonts w:hint="eastAsia" w:ascii="Times New Roman" w:hAnsi="Times New Roman" w:eastAsia="仿宋_GB2312"/>
          <w:color w:val="000000"/>
          <w:sz w:val="32"/>
          <w:szCs w:val="32"/>
          <w:lang w:val="en-US" w:eastAsia="zh-CN"/>
        </w:rPr>
        <w:t>49</w:t>
      </w:r>
      <w:r>
        <w:rPr>
          <w:rFonts w:ascii="Times New Roman" w:hAnsi="Times New Roman" w:eastAsia="仿宋_GB2312"/>
          <w:color w:val="000000"/>
          <w:sz w:val="32"/>
          <w:szCs w:val="32"/>
        </w:rPr>
        <w:t>万元，下降</w:t>
      </w:r>
      <w:r>
        <w:rPr>
          <w:rFonts w:hint="eastAsia" w:ascii="Times New Roman" w:hAnsi="Times New Roman" w:eastAsia="仿宋_GB2312"/>
          <w:color w:val="000000"/>
          <w:sz w:val="32"/>
          <w:szCs w:val="32"/>
          <w:lang w:val="en-US" w:eastAsia="zh-CN"/>
        </w:rPr>
        <w:t>17.18</w:t>
      </w:r>
      <w:r>
        <w:rPr>
          <w:rFonts w:ascii="Times New Roman" w:hAnsi="Times New Roman" w:eastAsia="仿宋_GB2312"/>
          <w:color w:val="000000"/>
          <w:sz w:val="32"/>
          <w:szCs w:val="32"/>
        </w:rPr>
        <w:t>%，主要是</w:t>
      </w:r>
      <w:r>
        <w:rPr>
          <w:rFonts w:hint="eastAsia" w:ascii="Times New Roman" w:hAnsi="Times New Roman" w:eastAsia="仿宋_GB2312"/>
          <w:color w:val="000000"/>
          <w:sz w:val="32"/>
          <w:szCs w:val="32"/>
          <w:lang w:val="en-US" w:eastAsia="zh-CN"/>
        </w:rPr>
        <w:t>人员变动经费减少的</w:t>
      </w:r>
      <w:r>
        <w:rPr>
          <w:rFonts w:ascii="Times New Roman" w:hAnsi="Times New Roman" w:eastAsia="仿宋_GB2312"/>
          <w:color w:val="000000"/>
          <w:sz w:val="32"/>
          <w:szCs w:val="32"/>
        </w:rPr>
        <w:t>原因。</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项目支出</w:t>
      </w:r>
      <w:r>
        <w:rPr>
          <w:rFonts w:hint="eastAsia" w:ascii="Times New Roman" w:hAnsi="Times New Roman" w:eastAsia="仿宋_GB2312"/>
          <w:color w:val="000000"/>
          <w:sz w:val="32"/>
          <w:szCs w:val="32"/>
          <w:lang w:val="en-US" w:eastAsia="zh-CN"/>
        </w:rPr>
        <w:t>1346.19</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82.52</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较</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 xml:space="preserve"> 年度决算数增加</w:t>
      </w:r>
      <w:r>
        <w:rPr>
          <w:rFonts w:hint="eastAsia" w:ascii="Times New Roman" w:hAnsi="Times New Roman" w:eastAsia="仿宋_GB2312"/>
          <w:color w:val="000000"/>
          <w:sz w:val="32"/>
          <w:szCs w:val="32"/>
          <w:lang w:val="en-US" w:eastAsia="zh-CN"/>
        </w:rPr>
        <w:t>1116.19</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82.91</w:t>
      </w:r>
      <w:r>
        <w:rPr>
          <w:rFonts w:ascii="Times New Roman" w:hAnsi="Times New Roman" w:eastAsia="仿宋_GB2312"/>
          <w:color w:val="000000"/>
          <w:sz w:val="32"/>
          <w:szCs w:val="32"/>
        </w:rPr>
        <w:t>%，主要是</w:t>
      </w:r>
      <w:r>
        <w:rPr>
          <w:rFonts w:hint="eastAsia" w:ascii="Times New Roman" w:hAnsi="Times New Roman" w:eastAsia="仿宋_GB2312"/>
          <w:color w:val="000000"/>
          <w:sz w:val="32"/>
          <w:szCs w:val="32"/>
          <w:lang w:val="en-US" w:eastAsia="zh-CN"/>
        </w:rPr>
        <w:t>项目资金增加的</w:t>
      </w:r>
      <w:r>
        <w:rPr>
          <w:rFonts w:ascii="Times New Roman" w:hAnsi="Times New Roman" w:eastAsia="仿宋_GB2312"/>
          <w:color w:val="000000"/>
          <w:sz w:val="32"/>
          <w:szCs w:val="32"/>
        </w:rPr>
        <w:t>原因。</w:t>
      </w:r>
    </w:p>
    <w:p>
      <w:pPr>
        <w:shd w:val="clear" w:color="auto" w:fill="FFFFFF"/>
        <w:spacing w:line="576" w:lineRule="exact"/>
        <w:ind w:firstLine="640" w:firstLineChars="200"/>
        <w:jc w:val="both"/>
        <w:rPr>
          <w:rFonts w:hint="eastAsia" w:ascii="楷体_GB2312" w:hAnsi="Times New Roman" w:eastAsia="楷体_GB2312"/>
          <w:color w:val="000000"/>
          <w:sz w:val="32"/>
          <w:szCs w:val="32"/>
        </w:rPr>
      </w:pPr>
      <w:r>
        <w:rPr>
          <w:rFonts w:hint="eastAsia" w:ascii="楷体_GB2312" w:hAnsi="Times New Roman" w:eastAsia="楷体_GB2312"/>
          <w:color w:val="000000"/>
          <w:sz w:val="32"/>
          <w:szCs w:val="32"/>
        </w:rPr>
        <w:t>（三）财政拨款收入决算情况。</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lang w:val="en-US" w:eastAsia="zh-CN"/>
        </w:rPr>
        <w:t>天水市供销合作社</w:t>
      </w:r>
      <w:r>
        <w:rPr>
          <w:rFonts w:ascii="Times New Roman" w:hAnsi="Times New Roman" w:eastAsia="仿宋_GB2312"/>
          <w:color w:val="000000"/>
          <w:sz w:val="32"/>
          <w:szCs w:val="32"/>
        </w:rPr>
        <w:t>财政拨款收入总计</w:t>
      </w:r>
      <w:r>
        <w:rPr>
          <w:rFonts w:hint="eastAsia" w:ascii="Times New Roman" w:hAnsi="Times New Roman" w:eastAsia="仿宋_GB2312"/>
          <w:color w:val="000000"/>
          <w:sz w:val="32"/>
          <w:szCs w:val="32"/>
        </w:rPr>
        <w:t>1631.37</w:t>
      </w:r>
      <w:r>
        <w:rPr>
          <w:rFonts w:ascii="Times New Roman" w:hAnsi="Times New Roman" w:eastAsia="仿宋_GB2312"/>
          <w:color w:val="000000"/>
          <w:sz w:val="32"/>
          <w:szCs w:val="32"/>
        </w:rPr>
        <w:t>万元，与上年相比增加</w:t>
      </w:r>
      <w:r>
        <w:rPr>
          <w:rFonts w:hint="eastAsia" w:ascii="Times New Roman" w:hAnsi="Times New Roman" w:eastAsia="仿宋_GB2312"/>
          <w:color w:val="000000"/>
          <w:sz w:val="32"/>
          <w:szCs w:val="32"/>
          <w:lang w:val="en-US" w:eastAsia="zh-CN"/>
        </w:rPr>
        <w:t>1067.19</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65.42</w:t>
      </w:r>
      <w:r>
        <w:rPr>
          <w:rFonts w:ascii="Times New Roman" w:hAnsi="Times New Roman" w:eastAsia="仿宋_GB2312"/>
          <w:color w:val="000000"/>
          <w:sz w:val="32"/>
          <w:szCs w:val="32"/>
        </w:rPr>
        <w:t>%。其中：一般公共预算财政拨款收入</w:t>
      </w:r>
      <w:r>
        <w:rPr>
          <w:rFonts w:hint="eastAsia" w:ascii="Times New Roman" w:hAnsi="Times New Roman" w:eastAsia="仿宋_GB2312"/>
          <w:color w:val="000000"/>
          <w:sz w:val="32"/>
          <w:szCs w:val="32"/>
          <w:lang w:val="en-US" w:eastAsia="zh-CN"/>
        </w:rPr>
        <w:t>1631.37</w:t>
      </w:r>
      <w:r>
        <w:rPr>
          <w:rFonts w:ascii="Times New Roman" w:hAnsi="Times New Roman" w:eastAsia="仿宋_GB2312"/>
          <w:color w:val="000000"/>
          <w:sz w:val="32"/>
          <w:szCs w:val="32"/>
        </w:rPr>
        <w:t>万元，与上年相比增加</w:t>
      </w:r>
      <w:r>
        <w:rPr>
          <w:rFonts w:hint="eastAsia" w:ascii="Times New Roman" w:hAnsi="Times New Roman" w:eastAsia="仿宋_GB2312"/>
          <w:color w:val="000000"/>
          <w:sz w:val="32"/>
          <w:szCs w:val="32"/>
          <w:lang w:val="en-US" w:eastAsia="zh-CN"/>
        </w:rPr>
        <w:t>1067.19</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65.42</w:t>
      </w:r>
      <w:r>
        <w:rPr>
          <w:rFonts w:ascii="Times New Roman" w:hAnsi="Times New Roman" w:eastAsia="仿宋_GB2312"/>
          <w:color w:val="000000"/>
          <w:sz w:val="32"/>
          <w:szCs w:val="32"/>
        </w:rPr>
        <w:t>%；政府性基金预算财政拨款收入</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万元，上年</w:t>
      </w:r>
      <w:r>
        <w:rPr>
          <w:rFonts w:hint="eastAsia" w:ascii="Times New Roman" w:hAnsi="Times New Roman" w:eastAsia="仿宋_GB2312"/>
          <w:color w:val="000000"/>
          <w:sz w:val="32"/>
          <w:szCs w:val="32"/>
          <w:lang w:val="en-US" w:eastAsia="zh-CN"/>
        </w:rPr>
        <w:t>也无此项收入。</w:t>
      </w:r>
    </w:p>
    <w:p>
      <w:pPr>
        <w:shd w:val="clear" w:color="auto" w:fill="FFFFFF"/>
        <w:spacing w:line="576" w:lineRule="exact"/>
        <w:ind w:firstLine="640" w:firstLineChars="200"/>
        <w:jc w:val="both"/>
        <w:rPr>
          <w:rFonts w:ascii="Times New Roman" w:hAnsi="Times New Roman" w:eastAsia="仿宋_GB2312"/>
          <w:b/>
          <w:color w:val="000000"/>
          <w:sz w:val="32"/>
          <w:szCs w:val="32"/>
        </w:rPr>
      </w:pPr>
      <w:r>
        <w:rPr>
          <w:rFonts w:ascii="黑体" w:hAnsi="黑体" w:eastAsia="黑体"/>
          <w:color w:val="000000"/>
          <w:sz w:val="32"/>
          <w:szCs w:val="32"/>
        </w:rPr>
        <w:t>三、一般公共预算财政拨款支出决算情况</w:t>
      </w:r>
      <w:r>
        <w:rPr>
          <w:rFonts w:ascii="黑体" w:hAnsi="黑体" w:eastAsia="黑体"/>
          <w:b/>
          <w:color w:val="000000"/>
          <w:sz w:val="32"/>
          <w:szCs w:val="32"/>
        </w:rPr>
        <w:t>。</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w:t>
      </w:r>
      <w:r>
        <w:rPr>
          <w:rFonts w:hint="eastAsia" w:ascii="Times New Roman" w:hAnsi="Times New Roman" w:eastAsia="仿宋_GB2312"/>
          <w:color w:val="000000"/>
          <w:sz w:val="32"/>
          <w:szCs w:val="32"/>
          <w:lang w:val="en-US" w:eastAsia="zh-CN"/>
        </w:rPr>
        <w:t>天水市供销合作社</w:t>
      </w:r>
      <w:r>
        <w:rPr>
          <w:rFonts w:ascii="Times New Roman" w:hAnsi="Times New Roman" w:eastAsia="仿宋_GB2312"/>
          <w:color w:val="000000"/>
          <w:sz w:val="32"/>
          <w:szCs w:val="32"/>
        </w:rPr>
        <w:t>一般公共预算财政拨款支出总计</w:t>
      </w:r>
      <w:r>
        <w:rPr>
          <w:rFonts w:hint="eastAsia" w:ascii="Times New Roman" w:hAnsi="Times New Roman" w:eastAsia="仿宋_GB2312"/>
          <w:color w:val="000000"/>
          <w:sz w:val="32"/>
          <w:szCs w:val="32"/>
        </w:rPr>
        <w:t>1631.37</w:t>
      </w:r>
      <w:r>
        <w:rPr>
          <w:rFonts w:ascii="Times New Roman" w:hAnsi="Times New Roman" w:eastAsia="仿宋_GB2312"/>
          <w:color w:val="000000"/>
          <w:sz w:val="32"/>
          <w:szCs w:val="32"/>
        </w:rPr>
        <w:t>万元，与上年相比增加</w:t>
      </w:r>
      <w:r>
        <w:rPr>
          <w:rFonts w:hint="eastAsia" w:ascii="Times New Roman" w:hAnsi="Times New Roman" w:eastAsia="仿宋_GB2312"/>
          <w:color w:val="000000"/>
          <w:sz w:val="32"/>
          <w:szCs w:val="32"/>
          <w:lang w:val="en-US" w:eastAsia="zh-CN"/>
        </w:rPr>
        <w:t>1067.19</w:t>
      </w:r>
      <w:r>
        <w:rPr>
          <w:rFonts w:ascii="Times New Roman" w:hAnsi="Times New Roman" w:eastAsia="仿宋_GB2312"/>
          <w:color w:val="000000"/>
          <w:sz w:val="32"/>
          <w:szCs w:val="32"/>
        </w:rPr>
        <w:t>万元，增长</w:t>
      </w:r>
      <w:r>
        <w:rPr>
          <w:rFonts w:hint="eastAsia" w:ascii="Times New Roman" w:hAnsi="Times New Roman" w:eastAsia="仿宋_GB2312"/>
          <w:color w:val="000000"/>
          <w:sz w:val="32"/>
          <w:szCs w:val="32"/>
          <w:lang w:val="en-US" w:eastAsia="zh-CN"/>
        </w:rPr>
        <w:t>65.42</w:t>
      </w:r>
      <w:r>
        <w:rPr>
          <w:rFonts w:ascii="Times New Roman" w:hAnsi="Times New Roman" w:eastAsia="仿宋_GB2312"/>
          <w:color w:val="000000"/>
          <w:sz w:val="32"/>
          <w:szCs w:val="32"/>
        </w:rPr>
        <w:t>%；完成年初预算</w:t>
      </w:r>
      <w:r>
        <w:rPr>
          <w:rFonts w:hint="eastAsia" w:ascii="Times New Roman" w:hAnsi="Times New Roman" w:eastAsia="仿宋_GB2312"/>
          <w:color w:val="000000"/>
          <w:sz w:val="32"/>
          <w:szCs w:val="32"/>
          <w:lang w:val="en-US" w:eastAsia="zh-CN"/>
        </w:rPr>
        <w:t>480.52</w:t>
      </w:r>
      <w:r>
        <w:rPr>
          <w:rFonts w:ascii="Times New Roman" w:hAnsi="Times New Roman" w:eastAsia="仿宋_GB2312"/>
          <w:color w:val="000000"/>
          <w:sz w:val="32"/>
          <w:szCs w:val="32"/>
        </w:rPr>
        <w:t>%，决算数大于预算数的主要原因：</w:t>
      </w:r>
      <w:r>
        <w:rPr>
          <w:rFonts w:hint="eastAsia" w:ascii="Times New Roman" w:hAnsi="Times New Roman" w:eastAsia="仿宋_GB2312"/>
          <w:color w:val="000000"/>
          <w:sz w:val="32"/>
          <w:szCs w:val="32"/>
          <w:lang w:val="en-US" w:eastAsia="zh-CN"/>
        </w:rPr>
        <w:t>追加了项目资金</w:t>
      </w:r>
      <w:r>
        <w:rPr>
          <w:rFonts w:ascii="Times New Roman" w:hAnsi="Times New Roman" w:eastAsia="仿宋_GB2312"/>
          <w:color w:val="000000"/>
          <w:sz w:val="32"/>
          <w:szCs w:val="32"/>
        </w:rPr>
        <w:t>。其中：</w:t>
      </w:r>
    </w:p>
    <w:p>
      <w:pPr>
        <w:shd w:val="clear" w:color="auto" w:fill="FFFFFF"/>
        <w:spacing w:line="576" w:lineRule="exact"/>
        <w:ind w:firstLine="624" w:firstLineChars="200"/>
        <w:jc w:val="both"/>
        <w:rPr>
          <w:rFonts w:hint="default" w:ascii="Times New Roman" w:hAnsi="Times New Roman" w:eastAsia="仿宋_GB2312"/>
          <w:color w:val="000000"/>
          <w:spacing w:val="-4"/>
          <w:sz w:val="32"/>
          <w:szCs w:val="32"/>
          <w:lang w:val="en-US" w:eastAsia="zh-CN"/>
        </w:rPr>
      </w:pPr>
      <w:r>
        <w:rPr>
          <w:rFonts w:ascii="Times New Roman" w:hAnsi="Times New Roman" w:eastAsia="仿宋_GB2312"/>
          <w:color w:val="000000"/>
          <w:spacing w:val="-4"/>
          <w:sz w:val="32"/>
          <w:szCs w:val="32"/>
        </w:rPr>
        <w:t>1.</w:t>
      </w:r>
      <w:r>
        <w:rPr>
          <w:rFonts w:hint="eastAsia" w:ascii="Times New Roman" w:hAnsi="Times New Roman" w:eastAsia="仿宋_GB2312"/>
          <w:color w:val="000000"/>
          <w:spacing w:val="-4"/>
          <w:sz w:val="32"/>
          <w:szCs w:val="32"/>
        </w:rPr>
        <w:t>社会保障和就业支出</w:t>
      </w:r>
      <w:r>
        <w:rPr>
          <w:rFonts w:hint="eastAsia" w:ascii="Times New Roman" w:hAnsi="Times New Roman" w:eastAsia="仿宋_GB2312"/>
          <w:color w:val="000000"/>
          <w:spacing w:val="-4"/>
          <w:sz w:val="32"/>
          <w:szCs w:val="32"/>
          <w:lang w:val="en-US" w:eastAsia="zh-CN"/>
        </w:rPr>
        <w:t>51.71</w:t>
      </w:r>
      <w:r>
        <w:rPr>
          <w:rFonts w:ascii="Times New Roman" w:hAnsi="Times New Roman" w:eastAsia="仿宋_GB2312"/>
          <w:color w:val="000000"/>
          <w:spacing w:val="-4"/>
          <w:sz w:val="32"/>
          <w:szCs w:val="32"/>
        </w:rPr>
        <w:t>万元，</w:t>
      </w:r>
      <w:r>
        <w:rPr>
          <w:rFonts w:hint="eastAsia" w:ascii="Times New Roman" w:hAnsi="Times New Roman" w:eastAsia="仿宋_GB2312"/>
          <w:color w:val="000000"/>
          <w:spacing w:val="-4"/>
          <w:sz w:val="32"/>
          <w:szCs w:val="32"/>
        </w:rPr>
        <w:t>占</w:t>
      </w:r>
      <w:r>
        <w:rPr>
          <w:rFonts w:hint="eastAsia" w:ascii="Times New Roman" w:hAnsi="Times New Roman" w:eastAsia="仿宋_GB2312"/>
          <w:color w:val="000000"/>
          <w:spacing w:val="-4"/>
          <w:sz w:val="32"/>
          <w:szCs w:val="32"/>
          <w:lang w:val="en-US" w:eastAsia="zh-CN"/>
        </w:rPr>
        <w:t>3.17</w:t>
      </w:r>
      <w:r>
        <w:rPr>
          <w:rFonts w:hint="eastAsia" w:ascii="Times New Roman" w:hAnsi="Times New Roman" w:eastAsia="仿宋_GB2312"/>
          <w:color w:val="000000"/>
          <w:spacing w:val="-4"/>
          <w:sz w:val="32"/>
          <w:szCs w:val="32"/>
        </w:rPr>
        <w:t>%，</w:t>
      </w:r>
      <w:r>
        <w:rPr>
          <w:rFonts w:ascii="Times New Roman" w:hAnsi="Times New Roman" w:eastAsia="仿宋_GB2312"/>
          <w:color w:val="000000"/>
          <w:spacing w:val="-4"/>
          <w:sz w:val="32"/>
          <w:szCs w:val="32"/>
        </w:rPr>
        <w:t>主要用于主要用于</w:t>
      </w:r>
      <w:r>
        <w:rPr>
          <w:rFonts w:hint="eastAsia" w:ascii="Times New Roman" w:hAnsi="Times New Roman" w:eastAsia="仿宋_GB2312"/>
          <w:color w:val="000000"/>
          <w:spacing w:val="-4"/>
          <w:sz w:val="32"/>
          <w:szCs w:val="32"/>
          <w:lang w:val="en-US" w:eastAsia="zh-CN"/>
        </w:rPr>
        <w:t>离退休人员经费发放</w:t>
      </w:r>
      <w:r>
        <w:rPr>
          <w:rFonts w:ascii="Times New Roman" w:hAnsi="Times New Roman" w:eastAsia="仿宋_GB2312"/>
          <w:color w:val="000000"/>
          <w:spacing w:val="-4"/>
          <w:sz w:val="32"/>
          <w:szCs w:val="32"/>
        </w:rPr>
        <w:t>，完成年初预算</w:t>
      </w:r>
      <w:r>
        <w:rPr>
          <w:rFonts w:hint="eastAsia" w:ascii="Times New Roman" w:hAnsi="Times New Roman" w:eastAsia="仿宋_GB2312"/>
          <w:color w:val="000000"/>
          <w:spacing w:val="-4"/>
          <w:sz w:val="32"/>
          <w:szCs w:val="32"/>
          <w:lang w:val="en-US" w:eastAsia="zh-CN"/>
        </w:rPr>
        <w:t>74.27</w:t>
      </w:r>
      <w:r>
        <w:rPr>
          <w:rFonts w:ascii="Times New Roman" w:hAnsi="Times New Roman" w:eastAsia="仿宋_GB2312"/>
          <w:color w:val="000000"/>
          <w:spacing w:val="-4"/>
          <w:sz w:val="32"/>
          <w:szCs w:val="32"/>
        </w:rPr>
        <w:t>%，决算数小于预算数的主要原因</w:t>
      </w:r>
      <w:r>
        <w:rPr>
          <w:rFonts w:hint="eastAsia" w:ascii="Times New Roman" w:hAnsi="Times New Roman" w:eastAsia="仿宋_GB2312"/>
          <w:color w:val="000000"/>
          <w:spacing w:val="-4"/>
          <w:sz w:val="32"/>
          <w:szCs w:val="32"/>
          <w:lang w:val="en-US" w:eastAsia="zh-CN"/>
        </w:rPr>
        <w:t>是退休人员减少1人。</w:t>
      </w:r>
    </w:p>
    <w:p>
      <w:pPr>
        <w:shd w:val="clear" w:color="auto" w:fill="FFFFFF"/>
        <w:spacing w:line="576" w:lineRule="exact"/>
        <w:ind w:firstLine="640" w:firstLineChars="200"/>
        <w:jc w:val="both"/>
        <w:rPr>
          <w:rFonts w:hint="default" w:ascii="Times New Roman" w:hAnsi="Times New Roman" w:eastAsia="仿宋_GB2312"/>
          <w:color w:val="000000"/>
          <w:spacing w:val="-4"/>
          <w:sz w:val="32"/>
          <w:szCs w:val="32"/>
          <w:lang w:val="en-US" w:eastAsia="zh-CN"/>
        </w:rPr>
      </w:pP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商业服务业等</w:t>
      </w:r>
      <w:r>
        <w:rPr>
          <w:rFonts w:ascii="Times New Roman" w:hAnsi="Times New Roman" w:eastAsia="仿宋_GB2312"/>
          <w:color w:val="000000"/>
          <w:sz w:val="32"/>
          <w:szCs w:val="32"/>
        </w:rPr>
        <w:t>支出</w:t>
      </w:r>
      <w:r>
        <w:rPr>
          <w:rFonts w:hint="eastAsia" w:ascii="Times New Roman" w:hAnsi="Times New Roman" w:eastAsia="仿宋_GB2312"/>
          <w:color w:val="000000"/>
          <w:sz w:val="32"/>
          <w:szCs w:val="32"/>
          <w:lang w:val="en-US" w:eastAsia="zh-CN"/>
        </w:rPr>
        <w:t>1546.68</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94.80</w:t>
      </w:r>
      <w:r>
        <w:rPr>
          <w:rFonts w:hint="eastAsia" w:ascii="Times New Roman" w:hAnsi="Times New Roman" w:eastAsia="仿宋_GB2312"/>
          <w:color w:val="000000"/>
          <w:sz w:val="32"/>
          <w:szCs w:val="32"/>
        </w:rPr>
        <w:t>%，</w:t>
      </w:r>
      <w:r>
        <w:rPr>
          <w:rFonts w:ascii="Times New Roman" w:hAnsi="Times New Roman" w:eastAsia="仿宋_GB2312"/>
          <w:color w:val="000000"/>
          <w:spacing w:val="-4"/>
          <w:sz w:val="32"/>
          <w:szCs w:val="32"/>
        </w:rPr>
        <w:t>主要用于主要用于</w:t>
      </w:r>
      <w:r>
        <w:rPr>
          <w:rFonts w:hint="eastAsia" w:ascii="Times New Roman" w:hAnsi="Times New Roman" w:eastAsia="仿宋_GB2312"/>
          <w:color w:val="000000"/>
          <w:spacing w:val="-4"/>
          <w:sz w:val="32"/>
          <w:szCs w:val="32"/>
          <w:lang w:val="en-US" w:eastAsia="zh-CN"/>
        </w:rPr>
        <w:t>行政运行和其他商业流通事务支出</w:t>
      </w:r>
      <w:r>
        <w:rPr>
          <w:rFonts w:ascii="Times New Roman" w:hAnsi="Times New Roman" w:eastAsia="仿宋_GB2312"/>
          <w:color w:val="000000"/>
          <w:spacing w:val="-4"/>
          <w:sz w:val="32"/>
          <w:szCs w:val="32"/>
        </w:rPr>
        <w:t>，完成年初预算</w:t>
      </w:r>
      <w:r>
        <w:rPr>
          <w:rFonts w:hint="eastAsia" w:ascii="Times New Roman" w:hAnsi="Times New Roman" w:eastAsia="仿宋_GB2312"/>
          <w:color w:val="000000"/>
          <w:spacing w:val="-4"/>
          <w:sz w:val="32"/>
          <w:szCs w:val="32"/>
          <w:lang w:val="en-US" w:eastAsia="zh-CN"/>
        </w:rPr>
        <w:t>741.85</w:t>
      </w:r>
      <w:r>
        <w:rPr>
          <w:rFonts w:ascii="Times New Roman" w:hAnsi="Times New Roman" w:eastAsia="仿宋_GB2312"/>
          <w:color w:val="000000"/>
          <w:spacing w:val="-4"/>
          <w:sz w:val="32"/>
          <w:szCs w:val="32"/>
        </w:rPr>
        <w:t>%，决算数大于预算数的主要原因</w:t>
      </w:r>
      <w:r>
        <w:rPr>
          <w:rFonts w:hint="eastAsia" w:ascii="Times New Roman" w:hAnsi="Times New Roman" w:eastAsia="仿宋_GB2312"/>
          <w:color w:val="000000"/>
          <w:spacing w:val="-4"/>
          <w:sz w:val="32"/>
          <w:szCs w:val="32"/>
          <w:lang w:val="en-US" w:eastAsia="zh-CN"/>
        </w:rPr>
        <w:t>是追加了项目资金。</w:t>
      </w:r>
    </w:p>
    <w:p>
      <w:pPr>
        <w:shd w:val="clear" w:color="auto" w:fill="FFFFFF"/>
        <w:spacing w:line="576" w:lineRule="exact"/>
        <w:ind w:firstLine="624" w:firstLineChars="200"/>
        <w:jc w:val="both"/>
        <w:rPr>
          <w:rFonts w:hint="default" w:ascii="Times New Roman" w:hAnsi="Times New Roman" w:eastAsia="仿宋_GB2312"/>
          <w:color w:val="000000"/>
          <w:spacing w:val="-4"/>
          <w:sz w:val="32"/>
          <w:szCs w:val="32"/>
          <w:lang w:val="en-US" w:eastAsia="zh-CN"/>
        </w:rPr>
      </w:pPr>
      <w:r>
        <w:rPr>
          <w:rFonts w:ascii="Times New Roman" w:hAnsi="Times New Roman" w:eastAsia="仿宋_GB2312"/>
          <w:color w:val="000000"/>
          <w:spacing w:val="-4"/>
          <w:sz w:val="32"/>
          <w:szCs w:val="32"/>
        </w:rPr>
        <w:t>3.</w:t>
      </w:r>
      <w:r>
        <w:rPr>
          <w:rFonts w:hint="eastAsia" w:ascii="Times New Roman" w:hAnsi="Times New Roman" w:eastAsia="仿宋_GB2312"/>
          <w:color w:val="000000"/>
          <w:sz w:val="32"/>
          <w:szCs w:val="32"/>
        </w:rPr>
        <w:t>住房保障支出</w:t>
      </w:r>
      <w:r>
        <w:rPr>
          <w:rFonts w:hint="eastAsia" w:ascii="Times New Roman" w:hAnsi="Times New Roman" w:eastAsia="仿宋_GB2312"/>
          <w:color w:val="000000"/>
          <w:sz w:val="32"/>
          <w:szCs w:val="32"/>
          <w:lang w:val="en-US" w:eastAsia="zh-CN"/>
        </w:rPr>
        <w:t>2.99</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占</w:t>
      </w:r>
      <w:r>
        <w:rPr>
          <w:rFonts w:hint="eastAsia" w:ascii="Times New Roman" w:hAnsi="Times New Roman" w:eastAsia="仿宋_GB2312"/>
          <w:color w:val="000000"/>
          <w:sz w:val="32"/>
          <w:szCs w:val="32"/>
          <w:lang w:val="en-US" w:eastAsia="zh-CN"/>
        </w:rPr>
        <w:t>0.18</w:t>
      </w:r>
      <w:r>
        <w:rPr>
          <w:rFonts w:hint="eastAsia" w:ascii="Times New Roman" w:hAnsi="Times New Roman" w:eastAsia="仿宋_GB2312"/>
          <w:color w:val="000000"/>
          <w:sz w:val="32"/>
          <w:szCs w:val="32"/>
        </w:rPr>
        <w:t>%，</w:t>
      </w:r>
      <w:r>
        <w:rPr>
          <w:rFonts w:ascii="Times New Roman" w:hAnsi="Times New Roman" w:eastAsia="仿宋_GB2312"/>
          <w:color w:val="000000"/>
          <w:spacing w:val="-4"/>
          <w:sz w:val="32"/>
          <w:szCs w:val="32"/>
        </w:rPr>
        <w:t>主要用于</w:t>
      </w:r>
      <w:r>
        <w:rPr>
          <w:rFonts w:hint="eastAsia" w:ascii="Times New Roman" w:hAnsi="Times New Roman" w:eastAsia="仿宋_GB2312"/>
          <w:color w:val="000000"/>
          <w:spacing w:val="-4"/>
          <w:sz w:val="32"/>
          <w:szCs w:val="32"/>
          <w:lang w:val="en-US" w:eastAsia="zh-CN"/>
        </w:rPr>
        <w:t>发放退休职工住房补贴</w:t>
      </w:r>
      <w:r>
        <w:rPr>
          <w:rFonts w:ascii="Times New Roman" w:hAnsi="Times New Roman" w:eastAsia="仿宋_GB2312"/>
          <w:color w:val="000000"/>
          <w:spacing w:val="-4"/>
          <w:sz w:val="32"/>
          <w:szCs w:val="32"/>
        </w:rPr>
        <w:t>，完成年初预算</w:t>
      </w:r>
      <w:r>
        <w:rPr>
          <w:rFonts w:hint="eastAsia" w:ascii="Times New Roman" w:hAnsi="Times New Roman" w:eastAsia="仿宋_GB2312"/>
          <w:color w:val="000000"/>
          <w:spacing w:val="-4"/>
          <w:sz w:val="32"/>
          <w:szCs w:val="32"/>
          <w:lang w:val="en-US" w:eastAsia="zh-CN"/>
        </w:rPr>
        <w:t>16.51</w:t>
      </w:r>
      <w:r>
        <w:rPr>
          <w:rFonts w:ascii="Times New Roman" w:hAnsi="Times New Roman" w:eastAsia="仿宋_GB2312"/>
          <w:color w:val="000000"/>
          <w:spacing w:val="-4"/>
          <w:sz w:val="32"/>
          <w:szCs w:val="32"/>
        </w:rPr>
        <w:t>%，决算数小于预算数的主要原因</w:t>
      </w:r>
      <w:r>
        <w:rPr>
          <w:rFonts w:hint="eastAsia" w:ascii="Times New Roman" w:hAnsi="Times New Roman" w:eastAsia="仿宋_GB2312"/>
          <w:color w:val="000000"/>
          <w:spacing w:val="-4"/>
          <w:sz w:val="32"/>
          <w:szCs w:val="32"/>
          <w:lang w:val="en-US" w:eastAsia="zh-CN"/>
        </w:rPr>
        <w:t>是住房公积金缴纳方式变更。</w:t>
      </w:r>
    </w:p>
    <w:p>
      <w:pPr>
        <w:shd w:val="clear" w:color="auto" w:fill="FFFFFF"/>
        <w:spacing w:line="576" w:lineRule="exact"/>
        <w:ind w:firstLine="624" w:firstLineChars="200"/>
        <w:jc w:val="both"/>
        <w:rPr>
          <w:rFonts w:hint="default" w:ascii="Times New Roman" w:hAnsi="Times New Roman" w:eastAsia="仿宋_GB2312"/>
          <w:color w:val="000000"/>
          <w:spacing w:val="-4"/>
          <w:sz w:val="32"/>
          <w:szCs w:val="32"/>
          <w:lang w:val="en-US" w:eastAsia="zh-CN"/>
        </w:rPr>
      </w:pPr>
      <w:r>
        <w:rPr>
          <w:rFonts w:ascii="Times New Roman" w:hAnsi="Times New Roman" w:eastAsia="仿宋_GB2312"/>
          <w:color w:val="000000"/>
          <w:spacing w:val="-4"/>
          <w:sz w:val="32"/>
          <w:szCs w:val="32"/>
        </w:rPr>
        <w:t>4.</w:t>
      </w:r>
      <w:r>
        <w:rPr>
          <w:rFonts w:hint="eastAsia" w:ascii="Times New Roman" w:hAnsi="Times New Roman" w:eastAsia="仿宋_GB2312"/>
          <w:color w:val="000000"/>
          <w:spacing w:val="-4"/>
          <w:sz w:val="32"/>
          <w:szCs w:val="32"/>
        </w:rPr>
        <w:t>粮油物资储备支出</w:t>
      </w:r>
      <w:r>
        <w:rPr>
          <w:rFonts w:hint="eastAsia" w:ascii="Times New Roman" w:hAnsi="Times New Roman" w:eastAsia="仿宋_GB2312"/>
          <w:color w:val="000000"/>
          <w:spacing w:val="-4"/>
          <w:sz w:val="32"/>
          <w:szCs w:val="32"/>
          <w:lang w:val="en-US" w:eastAsia="zh-CN"/>
        </w:rPr>
        <w:t>30万元，占1.84%，主要用于化肥储备。</w:t>
      </w:r>
    </w:p>
    <w:p>
      <w:pPr>
        <w:shd w:val="clear" w:color="auto" w:fill="FFFFFF"/>
        <w:spacing w:line="576" w:lineRule="exact"/>
        <w:ind w:firstLine="640" w:firstLineChars="200"/>
        <w:jc w:val="both"/>
        <w:rPr>
          <w:rFonts w:ascii="黑体" w:hAnsi="黑体" w:eastAsia="黑体"/>
          <w:color w:val="000000"/>
          <w:sz w:val="32"/>
          <w:szCs w:val="32"/>
        </w:rPr>
      </w:pPr>
      <w:r>
        <w:rPr>
          <w:rFonts w:ascii="黑体" w:hAnsi="黑体" w:eastAsia="黑体"/>
          <w:color w:val="000000"/>
          <w:sz w:val="32"/>
          <w:szCs w:val="32"/>
        </w:rPr>
        <w:t xml:space="preserve">四、一般公共预算财政拨款基本支出情况说明 </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lang w:val="en-US" w:eastAsia="zh-CN"/>
        </w:rPr>
        <w:t>天水市供销合作社</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 xml:space="preserve"> 年度一般公共预算财政拨款基本支出</w:t>
      </w:r>
      <w:r>
        <w:rPr>
          <w:rFonts w:hint="eastAsia" w:ascii="Times New Roman" w:hAnsi="Times New Roman" w:eastAsia="仿宋_GB2312"/>
          <w:color w:val="000000"/>
          <w:sz w:val="32"/>
          <w:szCs w:val="32"/>
          <w:lang w:val="en-US" w:eastAsia="zh-CN"/>
        </w:rPr>
        <w:t>285.18</w:t>
      </w:r>
      <w:r>
        <w:rPr>
          <w:rFonts w:ascii="Times New Roman" w:hAnsi="Times New Roman" w:eastAsia="仿宋_GB2312"/>
          <w:color w:val="000000"/>
          <w:sz w:val="32"/>
          <w:szCs w:val="32"/>
        </w:rPr>
        <w:t>万元，其中：</w:t>
      </w:r>
    </w:p>
    <w:p>
      <w:pPr>
        <w:numPr>
          <w:ilvl w:val="0"/>
          <w:numId w:val="1"/>
        </w:numPr>
        <w:shd w:val="clear" w:color="auto" w:fill="FFFFFF"/>
        <w:spacing w:line="576" w:lineRule="exact"/>
        <w:ind w:firstLine="640" w:firstLineChars="200"/>
        <w:jc w:val="both"/>
        <w:rPr>
          <w:rFonts w:hint="eastAsia" w:eastAsia="仿宋_GB2312"/>
          <w:color w:val="000000"/>
          <w:sz w:val="32"/>
          <w:szCs w:val="32"/>
          <w:lang w:val="en-US" w:eastAsia="zh-CN"/>
        </w:rPr>
      </w:pPr>
      <w:r>
        <w:rPr>
          <w:rFonts w:ascii="Times New Roman" w:hAnsi="Times New Roman" w:eastAsia="仿宋_GB2312"/>
          <w:color w:val="000000"/>
          <w:sz w:val="32"/>
          <w:szCs w:val="32"/>
        </w:rPr>
        <w:t>人员经费</w:t>
      </w:r>
      <w:r>
        <w:rPr>
          <w:rFonts w:hint="eastAsia" w:ascii="Times New Roman" w:hAnsi="Times New Roman" w:eastAsia="仿宋_GB2312"/>
          <w:color w:val="000000"/>
          <w:sz w:val="32"/>
          <w:szCs w:val="32"/>
          <w:lang w:val="en-US" w:eastAsia="zh-CN"/>
        </w:rPr>
        <w:t>241.40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较上年减少</w:t>
      </w:r>
      <w:r>
        <w:rPr>
          <w:rFonts w:hint="eastAsia" w:ascii="Times New Roman" w:hAnsi="Times New Roman" w:eastAsia="仿宋_GB2312"/>
          <w:color w:val="000000"/>
          <w:sz w:val="32"/>
          <w:szCs w:val="32"/>
          <w:lang w:val="en-US" w:eastAsia="zh-CN"/>
        </w:rPr>
        <w:t>45.23</w:t>
      </w:r>
      <w:r>
        <w:rPr>
          <w:rFonts w:hint="eastAsia" w:ascii="Times New Roman" w:hAnsi="Times New Roman" w:eastAsia="仿宋_GB2312"/>
          <w:color w:val="000000"/>
          <w:sz w:val="32"/>
          <w:szCs w:val="32"/>
        </w:rPr>
        <w:t>万元，主要是</w:t>
      </w:r>
      <w:r>
        <w:rPr>
          <w:rFonts w:hint="eastAsia" w:ascii="Times New Roman" w:hAnsi="Times New Roman" w:eastAsia="仿宋_GB2312"/>
          <w:color w:val="000000"/>
          <w:sz w:val="32"/>
          <w:szCs w:val="32"/>
          <w:lang w:val="en-US" w:eastAsia="zh-CN"/>
        </w:rPr>
        <w:t>人员减少</w:t>
      </w:r>
      <w:r>
        <w:rPr>
          <w:rFonts w:hint="eastAsia" w:ascii="Times New Roman" w:hAnsi="Times New Roman" w:eastAsia="仿宋_GB2312"/>
          <w:color w:val="000000"/>
          <w:sz w:val="32"/>
          <w:szCs w:val="32"/>
        </w:rPr>
        <w:t>原因。</w:t>
      </w:r>
      <w:r>
        <w:rPr>
          <w:rFonts w:hint="eastAsia" w:eastAsia="仿宋_GB2312"/>
          <w:color w:val="000000"/>
          <w:sz w:val="32"/>
          <w:szCs w:val="32"/>
          <w:lang w:val="en-US" w:eastAsia="zh-CN"/>
        </w:rPr>
        <w:t>其中：基本工资支出87.67万元，津贴补贴支出56.64万元，奖金支出8.19万元，其他社会保障缴费支出13.68万元，离休费支出15万元，奖励金支出41.71万元，</w:t>
      </w:r>
      <w:r>
        <w:rPr>
          <w:rFonts w:ascii="Times New Roman" w:hAnsi="Times New Roman" w:eastAsia="仿宋_GB2312"/>
          <w:color w:val="000000"/>
          <w:sz w:val="32"/>
          <w:szCs w:val="32"/>
        </w:rPr>
        <w:t>其他对个人和家庭的补助支出</w:t>
      </w:r>
      <w:r>
        <w:rPr>
          <w:rFonts w:hint="eastAsia" w:eastAsia="仿宋_GB2312"/>
          <w:color w:val="000000"/>
          <w:sz w:val="32"/>
          <w:szCs w:val="32"/>
          <w:lang w:val="en-US" w:eastAsia="zh-CN"/>
        </w:rPr>
        <w:t>14.58万元。</w:t>
      </w:r>
    </w:p>
    <w:p>
      <w:pPr>
        <w:numPr>
          <w:ilvl w:val="0"/>
          <w:numId w:val="0"/>
        </w:num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人员经费用途</w:t>
      </w:r>
      <w:r>
        <w:rPr>
          <w:rFonts w:ascii="Times New Roman" w:hAnsi="Times New Roman" w:eastAsia="仿宋_GB2312"/>
          <w:color w:val="000000"/>
          <w:sz w:val="32"/>
          <w:szCs w:val="32"/>
        </w:rPr>
        <w:t>主要包括：基本工资、津贴补贴、奖金、其他社会保障缴费、伙食补助费、绩效工资、机关事业单位基本养老保险缴费、其他工资福利支出、离休费、退休费、抚恤金、生活补助、医疗费、奖励金、住房公积金、提租补贴、购房补贴、采暖补贴、物业服务补贴、其他对个人和家庭的补助支出。</w:t>
      </w:r>
    </w:p>
    <w:p>
      <w:pPr>
        <w:shd w:val="clear" w:color="auto" w:fill="FFFFFF"/>
        <w:spacing w:line="576" w:lineRule="exact"/>
        <w:ind w:firstLine="640" w:firstLineChars="200"/>
        <w:jc w:val="both"/>
        <w:rPr>
          <w:rFonts w:hint="eastAsia" w:eastAsia="仿宋_GB2312"/>
          <w:color w:val="000000"/>
          <w:sz w:val="32"/>
          <w:szCs w:val="32"/>
          <w:lang w:val="en-US" w:eastAsia="zh-CN"/>
        </w:rPr>
      </w:pPr>
      <w:r>
        <w:rPr>
          <w:rFonts w:ascii="Times New Roman" w:hAnsi="Times New Roman" w:eastAsia="仿宋_GB2312"/>
          <w:color w:val="000000"/>
          <w:sz w:val="32"/>
          <w:szCs w:val="32"/>
        </w:rPr>
        <w:t>2.日常公用经费</w:t>
      </w:r>
      <w:r>
        <w:rPr>
          <w:rFonts w:hint="eastAsia" w:ascii="Times New Roman" w:hAnsi="Times New Roman" w:eastAsia="仿宋_GB2312"/>
          <w:color w:val="000000"/>
          <w:sz w:val="32"/>
          <w:szCs w:val="32"/>
          <w:lang w:val="en-US" w:eastAsia="zh-CN"/>
        </w:rPr>
        <w:t>43.78</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rPr>
        <w:t>较上年减少</w:t>
      </w:r>
      <w:r>
        <w:rPr>
          <w:rFonts w:hint="eastAsia" w:ascii="Times New Roman" w:hAnsi="Times New Roman" w:eastAsia="仿宋_GB2312"/>
          <w:color w:val="000000"/>
          <w:sz w:val="32"/>
          <w:szCs w:val="32"/>
          <w:lang w:val="en-US" w:eastAsia="zh-CN"/>
        </w:rPr>
        <w:t>3.77</w:t>
      </w:r>
      <w:r>
        <w:rPr>
          <w:rFonts w:hint="eastAsia" w:ascii="Times New Roman" w:hAnsi="Times New Roman" w:eastAsia="仿宋_GB2312"/>
          <w:color w:val="000000"/>
          <w:sz w:val="32"/>
          <w:szCs w:val="32"/>
        </w:rPr>
        <w:t>万元，主要是</w:t>
      </w:r>
      <w:r>
        <w:rPr>
          <w:rFonts w:hint="eastAsia" w:ascii="Times New Roman" w:hAnsi="Times New Roman" w:eastAsia="仿宋_GB2312"/>
          <w:color w:val="000000"/>
          <w:sz w:val="32"/>
          <w:szCs w:val="32"/>
          <w:lang w:val="en-US" w:eastAsia="zh-CN"/>
        </w:rPr>
        <w:t>人员减少</w:t>
      </w:r>
      <w:r>
        <w:rPr>
          <w:rFonts w:hint="eastAsia" w:ascii="Times New Roman" w:hAnsi="Times New Roman" w:eastAsia="仿宋_GB2312"/>
          <w:color w:val="000000"/>
          <w:sz w:val="32"/>
          <w:szCs w:val="32"/>
        </w:rPr>
        <w:t>原因。</w:t>
      </w:r>
      <w:r>
        <w:rPr>
          <w:rFonts w:hint="eastAsia" w:eastAsia="仿宋_GB2312"/>
          <w:color w:val="000000"/>
          <w:sz w:val="32"/>
          <w:szCs w:val="32"/>
          <w:lang w:val="en-US" w:eastAsia="zh-CN"/>
        </w:rPr>
        <w:t>其中：办公费支出1.78万元，水费支出0.04万元，电费支出0.53万元，邮电费支出0.59万元，取暖费支出3.38万元，物业管理费支出2.07万元，差旅费支出10.39万元，</w:t>
      </w:r>
      <w:r>
        <w:rPr>
          <w:rFonts w:ascii="Times New Roman" w:hAnsi="Times New Roman" w:eastAsia="仿宋_GB2312"/>
          <w:color w:val="000000"/>
          <w:sz w:val="32"/>
          <w:szCs w:val="32"/>
        </w:rPr>
        <w:t>维修（护）费</w:t>
      </w:r>
      <w:r>
        <w:rPr>
          <w:rFonts w:hint="eastAsia" w:eastAsia="仿宋_GB2312"/>
          <w:color w:val="000000"/>
          <w:sz w:val="32"/>
          <w:szCs w:val="32"/>
          <w:lang w:val="en-US" w:eastAsia="zh-CN"/>
        </w:rPr>
        <w:t>支出0.39万元，租赁费支出0.32万元，培训费支出0.36万元，工会经费支出1.81万元，福利费支出2.49万元，其他交通费用支出19.64万元。</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公用经费用途</w:t>
      </w:r>
      <w:r>
        <w:rPr>
          <w:rFonts w:ascii="Times New Roman" w:hAnsi="Times New Roman" w:eastAsia="仿宋_GB2312"/>
          <w:color w:val="000000"/>
          <w:sz w:val="32"/>
          <w:szCs w:val="32"/>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信息网络及软件购置更新、其他资本性支出。</w:t>
      </w:r>
    </w:p>
    <w:p>
      <w:pPr>
        <w:shd w:val="clear" w:color="auto" w:fill="FFFFFF"/>
        <w:spacing w:line="576" w:lineRule="exact"/>
        <w:ind w:firstLine="640" w:firstLineChars="200"/>
        <w:jc w:val="both"/>
        <w:rPr>
          <w:rFonts w:ascii="黑体" w:hAnsi="黑体" w:eastAsia="黑体"/>
          <w:color w:val="000000"/>
          <w:sz w:val="32"/>
          <w:szCs w:val="32"/>
        </w:rPr>
      </w:pPr>
      <w:r>
        <w:rPr>
          <w:rFonts w:ascii="黑体" w:hAnsi="黑体" w:eastAsia="黑体"/>
          <w:color w:val="000000"/>
          <w:sz w:val="32"/>
          <w:szCs w:val="32"/>
        </w:rPr>
        <w:t>五、</w:t>
      </w:r>
      <w:r>
        <w:rPr>
          <w:rFonts w:hint="eastAsia" w:ascii="黑体" w:hAnsi="黑体" w:eastAsia="黑体"/>
          <w:color w:val="000000"/>
          <w:sz w:val="32"/>
          <w:szCs w:val="32"/>
        </w:rPr>
        <w:t>2019</w:t>
      </w:r>
      <w:r>
        <w:rPr>
          <w:rFonts w:ascii="黑体" w:hAnsi="黑体" w:eastAsia="黑体"/>
          <w:color w:val="000000"/>
          <w:sz w:val="32"/>
          <w:szCs w:val="32"/>
        </w:rPr>
        <w:t>年“三公”经费支出决算说明</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年“三公经费”预算</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万元，决算</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p>
    <w:p>
      <w:pPr>
        <w:shd w:val="clear" w:color="auto" w:fill="FFFFFF"/>
        <w:spacing w:line="576" w:lineRule="exact"/>
        <w:ind w:firstLine="640" w:firstLineChars="200"/>
        <w:jc w:val="both"/>
        <w:rPr>
          <w:rFonts w:ascii="Times New Roman" w:hAnsi="Times New Roman" w:eastAsia="楷体_GB2312"/>
          <w:color w:val="000000"/>
          <w:sz w:val="32"/>
          <w:szCs w:val="32"/>
        </w:rPr>
      </w:pPr>
      <w:r>
        <w:rPr>
          <w:rFonts w:ascii="Times New Roman" w:hAnsi="Times New Roman" w:eastAsia="楷体_GB2312"/>
          <w:color w:val="000000"/>
          <w:sz w:val="32"/>
          <w:szCs w:val="32"/>
        </w:rPr>
        <w:t>1.因公出国（境）经费支出情况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年我单位因公出国（境）费用</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p>
    <w:p>
      <w:pPr>
        <w:shd w:val="clear" w:color="auto" w:fill="FFFFFF"/>
        <w:spacing w:line="576" w:lineRule="exact"/>
        <w:ind w:firstLine="640" w:firstLineChars="200"/>
        <w:jc w:val="both"/>
        <w:rPr>
          <w:rFonts w:hint="eastAsia" w:ascii="Times New Roman" w:hAnsi="Times New Roman" w:eastAsia="楷体_GB2312"/>
          <w:color w:val="000000"/>
          <w:sz w:val="32"/>
          <w:szCs w:val="32"/>
        </w:rPr>
      </w:pPr>
      <w:r>
        <w:rPr>
          <w:rFonts w:ascii="Times New Roman" w:hAnsi="Times New Roman" w:eastAsia="楷体_GB2312"/>
          <w:color w:val="000000"/>
          <w:sz w:val="32"/>
          <w:szCs w:val="32"/>
        </w:rPr>
        <w:t>2</w:t>
      </w:r>
      <w:r>
        <w:rPr>
          <w:rFonts w:hint="eastAsia" w:ascii="Times New Roman" w:hAnsi="Times New Roman" w:eastAsia="楷体_GB2312"/>
          <w:color w:val="000000"/>
          <w:sz w:val="32"/>
          <w:szCs w:val="32"/>
        </w:rPr>
        <w:t>.</w:t>
      </w:r>
      <w:r>
        <w:rPr>
          <w:rFonts w:ascii="Times New Roman" w:hAnsi="Times New Roman" w:eastAsia="楷体_GB2312"/>
          <w:color w:val="000000"/>
          <w:sz w:val="32"/>
          <w:szCs w:val="32"/>
        </w:rPr>
        <w:t>公务用车购置和运行费支出情况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年我单位公务用车</w:t>
      </w:r>
      <w:r>
        <w:rPr>
          <w:rFonts w:hint="eastAsia" w:ascii="Times New Roman" w:hAnsi="Times New Roman" w:eastAsia="仿宋_GB2312"/>
          <w:color w:val="000000"/>
          <w:sz w:val="32"/>
          <w:szCs w:val="32"/>
        </w:rPr>
        <w:t>购置</w:t>
      </w:r>
      <w:r>
        <w:rPr>
          <w:rFonts w:hint="eastAsia" w:ascii="Times New Roman" w:hAnsi="Times New Roman" w:eastAsia="仿宋_GB2312"/>
          <w:color w:val="000000"/>
          <w:sz w:val="32"/>
          <w:szCs w:val="32"/>
          <w:lang w:val="en-US" w:eastAsia="zh-CN"/>
        </w:rPr>
        <w:t>0</w:t>
      </w:r>
      <w:r>
        <w:rPr>
          <w:rFonts w:hint="eastAsia" w:ascii="Times New Roman" w:hAnsi="Times New Roman" w:eastAsia="仿宋_GB2312"/>
          <w:color w:val="000000"/>
          <w:sz w:val="32"/>
          <w:szCs w:val="32"/>
        </w:rPr>
        <w:t>辆。2019</w:t>
      </w:r>
      <w:r>
        <w:rPr>
          <w:rFonts w:ascii="Times New Roman" w:hAnsi="Times New Roman" w:eastAsia="仿宋_GB2312"/>
          <w:color w:val="000000"/>
          <w:sz w:val="32"/>
          <w:szCs w:val="32"/>
        </w:rPr>
        <w:t>年我单位公务用车运行费</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2019年本单位车均维护费</w:t>
      </w:r>
      <w:r>
        <w:rPr>
          <w:rFonts w:hint="eastAsia" w:ascii="Times New Roman" w:hAnsi="Times New Roman" w:eastAsia="仿宋_GB2312"/>
          <w:color w:val="000000"/>
          <w:sz w:val="32"/>
          <w:szCs w:val="32"/>
          <w:lang w:val="en-US" w:eastAsia="zh-CN"/>
        </w:rPr>
        <w:t>0</w:t>
      </w:r>
      <w:r>
        <w:rPr>
          <w:rFonts w:hint="eastAsia" w:ascii="Times New Roman" w:hAnsi="Times New Roman" w:eastAsia="仿宋_GB2312"/>
          <w:color w:val="000000"/>
          <w:sz w:val="32"/>
          <w:szCs w:val="32"/>
        </w:rPr>
        <w:t>元。</w:t>
      </w:r>
    </w:p>
    <w:p>
      <w:pPr>
        <w:shd w:val="clear" w:color="auto" w:fill="FFFFFF"/>
        <w:spacing w:line="576" w:lineRule="exact"/>
        <w:ind w:firstLine="640" w:firstLineChars="200"/>
        <w:jc w:val="both"/>
        <w:rPr>
          <w:rFonts w:ascii="Times New Roman" w:hAnsi="Times New Roman" w:eastAsia="楷体_GB2312"/>
          <w:color w:val="000000"/>
          <w:sz w:val="32"/>
          <w:szCs w:val="32"/>
        </w:rPr>
      </w:pPr>
      <w:r>
        <w:rPr>
          <w:rFonts w:ascii="Times New Roman" w:hAnsi="Times New Roman" w:eastAsia="楷体_GB2312"/>
          <w:color w:val="000000"/>
          <w:sz w:val="32"/>
          <w:szCs w:val="32"/>
        </w:rPr>
        <w:t>3</w:t>
      </w:r>
      <w:r>
        <w:rPr>
          <w:rFonts w:hint="eastAsia" w:ascii="Times New Roman" w:hAnsi="Times New Roman" w:eastAsia="楷体_GB2312"/>
          <w:color w:val="000000"/>
          <w:sz w:val="32"/>
          <w:szCs w:val="32"/>
        </w:rPr>
        <w:t>.</w:t>
      </w:r>
      <w:r>
        <w:rPr>
          <w:rFonts w:ascii="Times New Roman" w:hAnsi="Times New Roman" w:eastAsia="楷体_GB2312"/>
          <w:color w:val="000000"/>
          <w:sz w:val="32"/>
          <w:szCs w:val="32"/>
        </w:rPr>
        <w:t>公务接待费用支出情况</w:t>
      </w:r>
    </w:p>
    <w:p>
      <w:pPr>
        <w:shd w:val="clear" w:color="auto" w:fill="FFFFFF"/>
        <w:spacing w:line="576" w:lineRule="exact"/>
        <w:ind w:firstLine="640" w:firstLineChars="200"/>
        <w:jc w:val="both"/>
        <w:rPr>
          <w:rFonts w:hint="eastAsia" w:ascii="Times New Roman" w:hAnsi="Times New Roman" w:eastAsia="仿宋_GB2312"/>
          <w:color w:val="000000"/>
          <w:sz w:val="32"/>
          <w:szCs w:val="32"/>
          <w:lang w:eastAsia="zh-CN"/>
        </w:rPr>
      </w:pP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年本单位公务接待费</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r>
        <w:rPr>
          <w:rFonts w:hint="eastAsia" w:ascii="Times New Roman" w:hAnsi="Times New Roman" w:eastAsia="仿宋_GB2312"/>
          <w:color w:val="000000"/>
          <w:sz w:val="32"/>
          <w:szCs w:val="32"/>
          <w:lang w:eastAsia="zh-CN"/>
        </w:rPr>
        <w:t>。</w:t>
      </w:r>
    </w:p>
    <w:p>
      <w:pPr>
        <w:shd w:val="clear" w:color="auto" w:fill="FFFFFF"/>
        <w:spacing w:line="576" w:lineRule="exact"/>
        <w:ind w:firstLine="640" w:firstLineChars="200"/>
        <w:jc w:val="both"/>
        <w:rPr>
          <w:rFonts w:ascii="黑体" w:hAnsi="黑体" w:eastAsia="黑体"/>
          <w:color w:val="000000"/>
          <w:sz w:val="32"/>
          <w:szCs w:val="32"/>
        </w:rPr>
      </w:pPr>
      <w:r>
        <w:rPr>
          <w:rFonts w:ascii="黑体" w:hAnsi="黑体" w:eastAsia="黑体"/>
          <w:color w:val="000000"/>
          <w:sz w:val="32"/>
          <w:szCs w:val="32"/>
        </w:rPr>
        <w:t>六、机关运行经费支出情况</w:t>
      </w:r>
    </w:p>
    <w:p>
      <w:pPr>
        <w:shd w:val="clear" w:color="auto" w:fill="FFFFFF"/>
        <w:spacing w:line="576" w:lineRule="exact"/>
        <w:ind w:firstLine="640" w:firstLineChars="200"/>
        <w:jc w:val="both"/>
        <w:rPr>
          <w:rFonts w:hint="default" w:ascii="Times New Roman" w:hAnsi="Times New Roman" w:eastAsia="仿宋_GB2312"/>
          <w:color w:val="000000"/>
          <w:sz w:val="32"/>
          <w:szCs w:val="32"/>
          <w:lang w:val="en-US" w:eastAsia="zh-CN"/>
        </w:rPr>
      </w:pPr>
      <w:r>
        <w:rPr>
          <w:rFonts w:ascii="Times New Roman" w:hAnsi="Times New Roman" w:eastAsia="仿宋_GB2312"/>
          <w:color w:val="000000"/>
          <w:sz w:val="32"/>
          <w:szCs w:val="32"/>
        </w:rPr>
        <w:t>本单位</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年度机关运行经费支出</w:t>
      </w:r>
      <w:r>
        <w:rPr>
          <w:rFonts w:hint="eastAsia" w:ascii="Times New Roman" w:hAnsi="Times New Roman" w:eastAsia="仿宋_GB2312"/>
          <w:color w:val="000000"/>
          <w:sz w:val="32"/>
          <w:szCs w:val="32"/>
          <w:lang w:val="en-US" w:eastAsia="zh-CN"/>
        </w:rPr>
        <w:t>24.14</w:t>
      </w:r>
      <w:r>
        <w:rPr>
          <w:rFonts w:ascii="Times New Roman" w:hAnsi="Times New Roman" w:eastAsia="仿宋_GB2312"/>
          <w:color w:val="000000"/>
          <w:sz w:val="32"/>
          <w:szCs w:val="32"/>
        </w:rPr>
        <w:t xml:space="preserve">万元，比 </w:t>
      </w:r>
      <w:r>
        <w:rPr>
          <w:rFonts w:hint="eastAsia" w:ascii="Times New Roman" w:hAnsi="Times New Roman" w:eastAsia="仿宋_GB2312"/>
          <w:color w:val="000000"/>
          <w:sz w:val="32"/>
          <w:szCs w:val="32"/>
        </w:rPr>
        <w:t>2018</w:t>
      </w:r>
      <w:r>
        <w:rPr>
          <w:rFonts w:ascii="Times New Roman" w:hAnsi="Times New Roman" w:eastAsia="仿宋_GB2312"/>
          <w:color w:val="000000"/>
          <w:sz w:val="32"/>
          <w:szCs w:val="32"/>
        </w:rPr>
        <w:t>年减少</w:t>
      </w:r>
      <w:r>
        <w:rPr>
          <w:rFonts w:hint="eastAsia" w:ascii="Times New Roman" w:hAnsi="Times New Roman" w:eastAsia="仿宋_GB2312"/>
          <w:color w:val="000000"/>
          <w:sz w:val="32"/>
          <w:szCs w:val="32"/>
          <w:lang w:val="en-US" w:eastAsia="zh-CN"/>
        </w:rPr>
        <w:t>0.57</w:t>
      </w:r>
      <w:r>
        <w:rPr>
          <w:rFonts w:ascii="Times New Roman" w:hAnsi="Times New Roman" w:eastAsia="仿宋_GB2312"/>
          <w:color w:val="000000"/>
          <w:sz w:val="32"/>
          <w:szCs w:val="32"/>
        </w:rPr>
        <w:t>万元，降</w:t>
      </w:r>
      <w:r>
        <w:rPr>
          <w:rFonts w:hint="eastAsia" w:ascii="Times New Roman" w:hAnsi="Times New Roman" w:eastAsia="仿宋_GB2312"/>
          <w:color w:val="000000"/>
          <w:sz w:val="32"/>
          <w:szCs w:val="32"/>
          <w:lang w:val="en-US" w:eastAsia="zh-CN"/>
        </w:rPr>
        <w:t>低2.36</w:t>
      </w:r>
      <w:r>
        <w:rPr>
          <w:rFonts w:ascii="Times New Roman" w:hAnsi="Times New Roman" w:eastAsia="仿宋_GB2312"/>
          <w:color w:val="000000"/>
          <w:sz w:val="32"/>
          <w:szCs w:val="32"/>
        </w:rPr>
        <w:t>%。主要原因是：</w:t>
      </w:r>
      <w:r>
        <w:rPr>
          <w:rFonts w:hint="eastAsia" w:ascii="Times New Roman" w:hAnsi="Times New Roman" w:eastAsia="仿宋_GB2312"/>
          <w:color w:val="000000"/>
          <w:sz w:val="32"/>
          <w:szCs w:val="32"/>
          <w:lang w:val="en-US" w:eastAsia="zh-CN"/>
        </w:rPr>
        <w:t>人员减少经费随之减少。</w:t>
      </w:r>
    </w:p>
    <w:p>
      <w:pPr>
        <w:shd w:val="clear" w:color="auto" w:fill="FFFFFF"/>
        <w:spacing w:line="576" w:lineRule="exact"/>
        <w:ind w:firstLine="640" w:firstLineChars="200"/>
        <w:jc w:val="both"/>
        <w:rPr>
          <w:rFonts w:hint="eastAsia" w:ascii="黑体" w:hAnsi="黑体" w:eastAsia="黑体"/>
          <w:bCs/>
          <w:color w:val="000000"/>
          <w:sz w:val="32"/>
          <w:szCs w:val="32"/>
        </w:rPr>
      </w:pPr>
      <w:r>
        <w:rPr>
          <w:rFonts w:ascii="黑体" w:hAnsi="黑体" w:eastAsia="黑体"/>
          <w:bCs/>
          <w:color w:val="000000"/>
          <w:sz w:val="32"/>
          <w:szCs w:val="32"/>
        </w:rPr>
        <w:t>七、政府采购支出情况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本单位</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年度政府采购支出总额</w:t>
      </w:r>
      <w:r>
        <w:rPr>
          <w:rFonts w:hint="eastAsia" w:ascii="Times New Roman" w:hAnsi="Times New Roman" w:eastAsia="仿宋_GB2312"/>
          <w:color w:val="000000"/>
          <w:sz w:val="32"/>
          <w:szCs w:val="32"/>
          <w:lang w:val="en-US" w:eastAsia="zh-CN"/>
        </w:rPr>
        <w:t>10.19</w:t>
      </w:r>
      <w:r>
        <w:rPr>
          <w:rFonts w:ascii="Times New Roman" w:hAnsi="Times New Roman" w:eastAsia="仿宋_GB2312"/>
          <w:color w:val="000000"/>
          <w:sz w:val="32"/>
          <w:szCs w:val="32"/>
        </w:rPr>
        <w:t>万元，其中：政府采购货物支出</w:t>
      </w:r>
      <w:r>
        <w:rPr>
          <w:rFonts w:hint="eastAsia" w:ascii="Times New Roman" w:hAnsi="Times New Roman" w:eastAsia="仿宋_GB2312"/>
          <w:color w:val="000000"/>
          <w:sz w:val="32"/>
          <w:szCs w:val="32"/>
          <w:lang w:val="en-US" w:eastAsia="zh-CN"/>
        </w:rPr>
        <w:t>10.77</w:t>
      </w:r>
      <w:r>
        <w:rPr>
          <w:rFonts w:ascii="Times New Roman" w:hAnsi="Times New Roman" w:eastAsia="仿宋_GB2312"/>
          <w:color w:val="000000"/>
          <w:sz w:val="32"/>
          <w:szCs w:val="32"/>
        </w:rPr>
        <w:t>万元、政府采购工程支出</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万元、政府采购服务支出</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万元。</w:t>
      </w:r>
    </w:p>
    <w:p>
      <w:pPr>
        <w:shd w:val="clear" w:color="auto" w:fill="FFFFFF"/>
        <w:spacing w:line="576" w:lineRule="exact"/>
        <w:ind w:firstLine="627" w:firstLineChars="196"/>
        <w:jc w:val="both"/>
        <w:rPr>
          <w:rFonts w:ascii="黑体" w:hAnsi="黑体" w:eastAsia="黑体"/>
          <w:bCs/>
          <w:color w:val="000000"/>
          <w:sz w:val="32"/>
          <w:szCs w:val="32"/>
        </w:rPr>
      </w:pPr>
      <w:r>
        <w:rPr>
          <w:rFonts w:ascii="黑体" w:hAnsi="黑体" w:eastAsia="黑体"/>
          <w:bCs/>
          <w:color w:val="000000"/>
          <w:sz w:val="32"/>
          <w:szCs w:val="32"/>
        </w:rPr>
        <w:t>八、国有资产占用情况</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截至</w:t>
      </w:r>
      <w:r>
        <w:rPr>
          <w:rFonts w:hint="eastAsia" w:ascii="Times New Roman" w:hAnsi="Times New Roman" w:eastAsia="仿宋_GB2312"/>
          <w:color w:val="000000"/>
          <w:sz w:val="32"/>
          <w:szCs w:val="32"/>
        </w:rPr>
        <w:t>2019</w:t>
      </w:r>
      <w:r>
        <w:rPr>
          <w:rFonts w:ascii="Times New Roman" w:hAnsi="Times New Roman" w:eastAsia="仿宋_GB2312"/>
          <w:color w:val="000000"/>
          <w:sz w:val="32"/>
          <w:szCs w:val="32"/>
        </w:rPr>
        <w:t>年12月31日，本部门共有车辆</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辆</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；单位价值50万元以上通用设备</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台（套），单价100万元以上专用设备</w:t>
      </w:r>
      <w:r>
        <w:rPr>
          <w:rFonts w:hint="eastAsia" w:ascii="Times New Roman" w:hAnsi="Times New Roman" w:eastAsia="仿宋_GB2312"/>
          <w:color w:val="000000"/>
          <w:sz w:val="32"/>
          <w:szCs w:val="32"/>
          <w:lang w:val="en-US" w:eastAsia="zh-CN"/>
        </w:rPr>
        <w:t>0</w:t>
      </w:r>
      <w:r>
        <w:rPr>
          <w:rFonts w:ascii="Times New Roman" w:hAnsi="Times New Roman" w:eastAsia="仿宋_GB2312"/>
          <w:color w:val="000000"/>
          <w:sz w:val="32"/>
          <w:szCs w:val="32"/>
        </w:rPr>
        <w:t>台（套）。</w:t>
      </w:r>
    </w:p>
    <w:p>
      <w:pPr>
        <w:shd w:val="clear" w:color="auto" w:fill="FFFFFF"/>
        <w:spacing w:line="576" w:lineRule="exact"/>
        <w:ind w:firstLine="640" w:firstLineChars="200"/>
        <w:jc w:val="both"/>
        <w:rPr>
          <w:rFonts w:ascii="黑体" w:hAnsi="黑体" w:eastAsia="黑体"/>
          <w:bCs/>
          <w:color w:val="000000"/>
          <w:sz w:val="32"/>
          <w:szCs w:val="32"/>
        </w:rPr>
      </w:pPr>
      <w:r>
        <w:rPr>
          <w:rFonts w:ascii="黑体" w:hAnsi="黑体" w:eastAsia="黑体"/>
          <w:bCs/>
          <w:color w:val="000000"/>
          <w:sz w:val="32"/>
          <w:szCs w:val="32"/>
        </w:rPr>
        <w:t>九、预算绩效情况</w:t>
      </w:r>
    </w:p>
    <w:p>
      <w:pPr>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根据财政预算绩效管理要求，我部门组织对201</w:t>
      </w:r>
      <w:r>
        <w:rPr>
          <w:rFonts w:hint="eastAsia" w:ascii="Times New Roman" w:hAnsi="Times New Roman" w:eastAsia="仿宋_GB2312"/>
          <w:color w:val="000000"/>
          <w:sz w:val="32"/>
          <w:szCs w:val="32"/>
        </w:rPr>
        <w:t>9</w:t>
      </w:r>
      <w:r>
        <w:rPr>
          <w:rFonts w:ascii="Times New Roman" w:hAnsi="Times New Roman" w:eastAsia="仿宋_GB2312"/>
          <w:color w:val="000000"/>
          <w:sz w:val="32"/>
          <w:szCs w:val="32"/>
        </w:rPr>
        <w:t>年度一般公共预算项目支出开展绩效评价。共涉及资金</w:t>
      </w:r>
      <w:r>
        <w:rPr>
          <w:rFonts w:hint="eastAsia" w:ascii="Times New Roman" w:hAnsi="Times New Roman" w:eastAsia="仿宋_GB2312"/>
          <w:color w:val="000000"/>
          <w:sz w:val="32"/>
          <w:szCs w:val="32"/>
          <w:lang w:val="en-US" w:eastAsia="zh-CN"/>
        </w:rPr>
        <w:t>330</w:t>
      </w:r>
      <w:r>
        <w:rPr>
          <w:rFonts w:ascii="Times New Roman" w:hAnsi="Times New Roman" w:eastAsia="仿宋_GB2312"/>
          <w:color w:val="000000"/>
          <w:sz w:val="32"/>
          <w:szCs w:val="32"/>
        </w:rPr>
        <w:t>万元，占一般公共预算项目支出总额的</w:t>
      </w:r>
      <w:r>
        <w:rPr>
          <w:rFonts w:hint="eastAsia" w:ascii="Times New Roman" w:hAnsi="Times New Roman" w:eastAsia="仿宋_GB2312"/>
          <w:color w:val="000000"/>
          <w:sz w:val="32"/>
          <w:szCs w:val="32"/>
          <w:lang w:val="en-US" w:eastAsia="zh-CN"/>
        </w:rPr>
        <w:t>22.29</w:t>
      </w:r>
      <w:r>
        <w:rPr>
          <w:rFonts w:ascii="Times New Roman" w:hAnsi="Times New Roman" w:eastAsia="仿宋_GB2312"/>
          <w:color w:val="000000"/>
          <w:sz w:val="32"/>
          <w:szCs w:val="32"/>
        </w:rPr>
        <w:t>%。共组织对</w:t>
      </w:r>
      <w:r>
        <w:rPr>
          <w:rFonts w:hint="eastAsia" w:ascii="Times New Roman" w:hAnsi="Times New Roman" w:eastAsia="仿宋_GB2312"/>
          <w:color w:val="000000"/>
          <w:sz w:val="32"/>
          <w:szCs w:val="32"/>
        </w:rPr>
        <w:t>供销合作社综合改革专项资金</w:t>
      </w:r>
      <w:r>
        <w:rPr>
          <w:rFonts w:ascii="Times New Roman" w:hAnsi="Times New Roman" w:eastAsia="仿宋_GB2312"/>
          <w:color w:val="000000"/>
          <w:sz w:val="32"/>
          <w:szCs w:val="32"/>
        </w:rPr>
        <w:t>项目开展了重点绩效评价，涉及一般公共预算支出</w:t>
      </w:r>
      <w:r>
        <w:rPr>
          <w:rFonts w:hint="eastAsia" w:ascii="Times New Roman" w:hAnsi="Times New Roman" w:eastAsia="仿宋_GB2312"/>
          <w:color w:val="000000"/>
          <w:sz w:val="32"/>
          <w:szCs w:val="32"/>
          <w:lang w:val="en-US" w:eastAsia="zh-CN"/>
        </w:rPr>
        <w:t>300</w:t>
      </w:r>
      <w:r>
        <w:rPr>
          <w:rFonts w:ascii="Times New Roman" w:hAnsi="Times New Roman" w:eastAsia="仿宋_GB2312"/>
          <w:color w:val="000000"/>
          <w:sz w:val="32"/>
          <w:szCs w:val="32"/>
        </w:rPr>
        <w:t>万元。委托</w:t>
      </w:r>
      <w:r>
        <w:rPr>
          <w:rFonts w:hint="eastAsia" w:ascii="Times New Roman" w:hAnsi="Times New Roman" w:eastAsia="仿宋_GB2312"/>
          <w:color w:val="000000"/>
          <w:sz w:val="32"/>
          <w:szCs w:val="32"/>
          <w:lang w:val="en-US" w:eastAsia="zh-CN"/>
        </w:rPr>
        <w:t>甘肃泽晨工程项目咨询服务有限公司</w:t>
      </w:r>
      <w:r>
        <w:rPr>
          <w:rFonts w:ascii="Times New Roman" w:hAnsi="Times New Roman" w:eastAsia="仿宋_GB2312"/>
          <w:color w:val="000000"/>
          <w:sz w:val="32"/>
          <w:szCs w:val="32"/>
        </w:rPr>
        <w:t>第三方机构开展绩效评价。</w:t>
      </w:r>
    </w:p>
    <w:p>
      <w:pPr>
        <w:spacing w:line="576" w:lineRule="exact"/>
        <w:ind w:firstLine="640" w:firstLineChars="200"/>
        <w:jc w:val="both"/>
        <w:rPr>
          <w:rFonts w:hint="default" w:ascii="Times New Roman" w:hAnsi="Times New Roman" w:eastAsia="仿宋_GB2312"/>
          <w:color w:val="000000"/>
          <w:sz w:val="32"/>
          <w:szCs w:val="32"/>
          <w:lang w:val="en-US" w:eastAsia="zh-CN"/>
        </w:rPr>
      </w:pPr>
      <w:r>
        <w:rPr>
          <w:rFonts w:ascii="Times New Roman" w:hAnsi="Times New Roman" w:eastAsia="仿宋_GB2312"/>
          <w:color w:val="000000"/>
          <w:sz w:val="32"/>
          <w:szCs w:val="32"/>
        </w:rPr>
        <w:t>根据年初设定的绩效目标，</w:t>
      </w:r>
      <w:r>
        <w:rPr>
          <w:rFonts w:hint="eastAsia" w:ascii="Times New Roman" w:hAnsi="Times New Roman" w:eastAsia="仿宋_GB2312"/>
          <w:color w:val="000000"/>
          <w:sz w:val="32"/>
          <w:szCs w:val="32"/>
        </w:rPr>
        <w:t>供销合作社综合改革专项资金</w:t>
      </w:r>
      <w:r>
        <w:rPr>
          <w:rFonts w:ascii="Times New Roman" w:hAnsi="Times New Roman" w:eastAsia="仿宋_GB2312"/>
          <w:color w:val="000000"/>
          <w:sz w:val="32"/>
          <w:szCs w:val="32"/>
        </w:rPr>
        <w:t>项目自评得分为</w:t>
      </w:r>
      <w:r>
        <w:rPr>
          <w:rFonts w:hint="eastAsia" w:ascii="Times New Roman" w:hAnsi="Times New Roman" w:eastAsia="仿宋_GB2312"/>
          <w:color w:val="000000"/>
          <w:sz w:val="32"/>
          <w:szCs w:val="32"/>
          <w:lang w:val="en-US" w:eastAsia="zh-CN"/>
        </w:rPr>
        <w:t>82.13</w:t>
      </w:r>
      <w:r>
        <w:rPr>
          <w:rFonts w:ascii="Times New Roman" w:hAnsi="Times New Roman" w:eastAsia="仿宋_GB2312"/>
          <w:color w:val="000000"/>
          <w:sz w:val="32"/>
          <w:szCs w:val="32"/>
        </w:rPr>
        <w:t>分</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绩效评级为“良好”</w:t>
      </w:r>
      <w:r>
        <w:rPr>
          <w:rFonts w:ascii="Times New Roman" w:hAnsi="Times New Roman" w:eastAsia="仿宋_GB2312"/>
          <w:color w:val="000000"/>
          <w:sz w:val="32"/>
          <w:szCs w:val="32"/>
        </w:rPr>
        <w:t>。项目全年预算数为</w:t>
      </w:r>
      <w:r>
        <w:rPr>
          <w:rFonts w:hint="eastAsia" w:ascii="Times New Roman" w:hAnsi="Times New Roman" w:eastAsia="仿宋_GB2312"/>
          <w:color w:val="000000"/>
          <w:sz w:val="32"/>
          <w:szCs w:val="32"/>
          <w:lang w:val="en-US" w:eastAsia="zh-CN"/>
        </w:rPr>
        <w:t>300</w:t>
      </w:r>
      <w:r>
        <w:rPr>
          <w:rFonts w:ascii="Times New Roman" w:hAnsi="Times New Roman" w:eastAsia="仿宋_GB2312"/>
          <w:color w:val="000000"/>
          <w:sz w:val="32"/>
          <w:szCs w:val="32"/>
        </w:rPr>
        <w:t>万元，执行数为</w:t>
      </w:r>
      <w:r>
        <w:rPr>
          <w:rFonts w:hint="eastAsia" w:ascii="Times New Roman" w:hAnsi="Times New Roman" w:eastAsia="仿宋_GB2312"/>
          <w:color w:val="000000"/>
          <w:sz w:val="32"/>
          <w:szCs w:val="32"/>
          <w:lang w:val="en-US" w:eastAsia="zh-CN"/>
        </w:rPr>
        <w:t>300</w:t>
      </w:r>
      <w:r>
        <w:rPr>
          <w:rFonts w:ascii="Times New Roman" w:hAnsi="Times New Roman" w:eastAsia="仿宋_GB2312"/>
          <w:color w:val="000000"/>
          <w:sz w:val="32"/>
          <w:szCs w:val="32"/>
        </w:rPr>
        <w:t>万元，完成预算的</w:t>
      </w:r>
      <w:r>
        <w:rPr>
          <w:rFonts w:hint="eastAsia" w:ascii="Times New Roman" w:hAnsi="Times New Roman" w:eastAsia="仿宋_GB2312"/>
          <w:color w:val="000000"/>
          <w:sz w:val="32"/>
          <w:szCs w:val="32"/>
          <w:lang w:val="en-US" w:eastAsia="zh-CN"/>
        </w:rPr>
        <w:t>100</w:t>
      </w:r>
      <w:r>
        <w:rPr>
          <w:rFonts w:ascii="Times New Roman" w:hAnsi="Times New Roman" w:eastAsia="仿宋_GB2312"/>
          <w:color w:val="000000"/>
          <w:sz w:val="32"/>
          <w:szCs w:val="32"/>
        </w:rPr>
        <w:t>%。主要产出和效果：</w:t>
      </w:r>
      <w:r>
        <w:rPr>
          <w:rFonts w:hint="eastAsia" w:ascii="Times New Roman" w:hAnsi="Times New Roman" w:eastAsia="仿宋_GB2312"/>
          <w:color w:val="000000"/>
          <w:sz w:val="32"/>
          <w:szCs w:val="32"/>
          <w:lang w:val="en-US" w:eastAsia="zh-CN"/>
        </w:rPr>
        <w:t>该项目取得了良好的经济、社会、生态效益，具有可持续性，被服务对象较为满意，天水市供销合作社整合多方资源建设多层次、可持续服务体系，清水县利用农村“三变”改革，创新“1+3+N”利益联结机制联农带农效果良好，相关经验值得推广</w:t>
      </w:r>
      <w:r>
        <w:rPr>
          <w:rFonts w:ascii="Times New Roman" w:hAnsi="Times New Roman" w:eastAsia="仿宋_GB2312"/>
          <w:color w:val="000000"/>
          <w:sz w:val="32"/>
          <w:szCs w:val="32"/>
        </w:rPr>
        <w:t>。发现的主要问题及原因：一是</w:t>
      </w:r>
      <w:r>
        <w:rPr>
          <w:rFonts w:hint="eastAsia" w:ascii="Times New Roman" w:hAnsi="Times New Roman" w:eastAsia="仿宋_GB2312"/>
          <w:color w:val="000000"/>
          <w:sz w:val="32"/>
          <w:szCs w:val="32"/>
          <w:lang w:val="en-US" w:eastAsia="zh-CN"/>
        </w:rPr>
        <w:t>立项方面。立项不规范，缺少立项申请书、财政支出绩效目标申请表，无行业专家的技术支持，绩效指标不明确，细化和量化程度不够。资金拨付面太宽，起不到良好拉动作用</w:t>
      </w:r>
      <w:r>
        <w:rPr>
          <w:rFonts w:ascii="Times New Roman" w:hAnsi="Times New Roman" w:eastAsia="仿宋_GB2312"/>
          <w:color w:val="000000"/>
          <w:sz w:val="32"/>
          <w:szCs w:val="32"/>
        </w:rPr>
        <w:t>； 二是</w:t>
      </w:r>
      <w:r>
        <w:rPr>
          <w:rFonts w:hint="eastAsia" w:ascii="Times New Roman" w:hAnsi="Times New Roman" w:eastAsia="仿宋_GB2312"/>
          <w:color w:val="000000"/>
          <w:sz w:val="32"/>
          <w:szCs w:val="32"/>
          <w:lang w:val="en-US" w:eastAsia="zh-CN"/>
        </w:rPr>
        <w:t>过程方面</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缺少业务管理制度，项目主管部门对执行单位的检查、指导、监督工作不到位。财务管理制度不具体，部分资金使用滞后，部分项目存在应付账款尚未结清的财务风险。三是产出方面与效果方面。乡镇基层社和村级服务社的建设质量有待提高，供销合作社与农民的联系紧密度有待进一步提高。</w:t>
      </w:r>
      <w:r>
        <w:rPr>
          <w:rFonts w:ascii="Times New Roman" w:hAnsi="Times New Roman" w:eastAsia="仿宋_GB2312"/>
          <w:color w:val="000000"/>
          <w:sz w:val="32"/>
          <w:szCs w:val="32"/>
        </w:rPr>
        <w:t>下一步改进措施：一是</w:t>
      </w:r>
      <w:r>
        <w:rPr>
          <w:rFonts w:hint="eastAsia" w:ascii="Times New Roman" w:hAnsi="Times New Roman" w:eastAsia="仿宋_GB2312"/>
          <w:color w:val="000000"/>
          <w:sz w:val="32"/>
          <w:szCs w:val="32"/>
          <w:lang w:val="en-US" w:eastAsia="zh-CN"/>
        </w:rPr>
        <w:t>项目立项方面。做好项目规划，借鉴已经探索的成功经验，进一步集中300万元资金，对龙头企业、具有发展潜力的乡、村级农民合作组织进行重点扶持。充分调研和论证，完善立项资料</w:t>
      </w:r>
      <w:r>
        <w:rPr>
          <w:rFonts w:ascii="Times New Roman" w:hAnsi="Times New Roman" w:eastAsia="仿宋_GB2312"/>
          <w:color w:val="000000"/>
          <w:sz w:val="32"/>
          <w:szCs w:val="32"/>
        </w:rPr>
        <w:t>；二是</w:t>
      </w:r>
      <w:r>
        <w:rPr>
          <w:rFonts w:hint="eastAsia" w:ascii="Times New Roman" w:hAnsi="Times New Roman" w:eastAsia="仿宋_GB2312"/>
          <w:color w:val="000000"/>
          <w:sz w:val="32"/>
          <w:szCs w:val="32"/>
          <w:lang w:val="en-US" w:eastAsia="zh-CN"/>
        </w:rPr>
        <w:t>业务管理方面</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提高执政能力，完善业务管理制度，加强市供销社对社属企业和下级联社的指导职责；三是财务管理方面。进一步细化财务管理制度，防范财务风险，尽快建立可行性风险防控机制；四是产出和效果方面。项目设计和执行时要进一步密切关注农民需要求，提高基层服务社和村综合服务社能力，建立全方位、多层次供销社服务组织体系，提高受众人群满意度。</w:t>
      </w:r>
    </w:p>
    <w:p>
      <w:pPr>
        <w:spacing w:line="576" w:lineRule="exact"/>
        <w:ind w:firstLine="640" w:firstLineChars="200"/>
        <w:jc w:val="both"/>
        <w:rPr>
          <w:rFonts w:hint="eastAsia"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rPr>
        <w:t>供销合作社综合改革专项资金</w:t>
      </w:r>
      <w:r>
        <w:rPr>
          <w:rFonts w:ascii="Times New Roman" w:hAnsi="Times New Roman" w:eastAsia="仿宋_GB2312"/>
          <w:color w:val="000000"/>
          <w:sz w:val="32"/>
          <w:szCs w:val="32"/>
        </w:rPr>
        <w:t>项目绩效自评综述：</w:t>
      </w:r>
      <w:r>
        <w:rPr>
          <w:rFonts w:hint="eastAsia" w:ascii="Times New Roman" w:hAnsi="Times New Roman" w:eastAsia="仿宋_GB2312"/>
          <w:color w:val="000000"/>
          <w:sz w:val="32"/>
          <w:szCs w:val="32"/>
          <w:lang w:val="en-US" w:eastAsia="zh-CN"/>
        </w:rPr>
        <w:t>该项目绩效评价得分82.13分。</w:t>
      </w:r>
    </w:p>
    <w:p>
      <w:pPr>
        <w:spacing w:line="576" w:lineRule="exact"/>
        <w:ind w:firstLine="640" w:firstLineChars="200"/>
        <w:jc w:val="both"/>
        <w:rPr>
          <w:rFonts w:hint="eastAsia" w:ascii="Times New Roman" w:hAnsi="Times New Roman" w:eastAsia="仿宋_GB2312"/>
          <w:color w:val="000000"/>
          <w:sz w:val="32"/>
          <w:szCs w:val="32"/>
          <w:lang w:val="en-US" w:eastAsia="zh-CN"/>
        </w:rPr>
      </w:pPr>
      <w:r>
        <w:rPr>
          <w:rFonts w:ascii="Times New Roman" w:hAnsi="Times New Roman" w:eastAsia="仿宋_GB2312"/>
          <w:color w:val="000000"/>
          <w:sz w:val="32"/>
          <w:szCs w:val="32"/>
        </w:rPr>
        <w:t>根据年初设定的绩效目标，</w:t>
      </w:r>
      <w:r>
        <w:rPr>
          <w:rFonts w:hint="eastAsia" w:ascii="Times New Roman" w:hAnsi="Times New Roman" w:eastAsia="仿宋_GB2312"/>
          <w:color w:val="000000"/>
          <w:sz w:val="32"/>
          <w:szCs w:val="32"/>
        </w:rPr>
        <w:t>天水市化肥农药储备市场风险调节基金</w:t>
      </w:r>
      <w:r>
        <w:rPr>
          <w:rFonts w:ascii="Times New Roman" w:hAnsi="Times New Roman" w:eastAsia="仿宋_GB2312"/>
          <w:color w:val="000000"/>
          <w:sz w:val="32"/>
          <w:szCs w:val="32"/>
        </w:rPr>
        <w:t>自评得分为</w:t>
      </w:r>
      <w:r>
        <w:rPr>
          <w:rFonts w:hint="eastAsia" w:ascii="Times New Roman" w:hAnsi="Times New Roman" w:eastAsia="仿宋_GB2312"/>
          <w:color w:val="000000"/>
          <w:sz w:val="32"/>
          <w:szCs w:val="32"/>
          <w:lang w:val="en-US" w:eastAsia="zh-CN"/>
        </w:rPr>
        <w:t>83.57</w:t>
      </w:r>
      <w:r>
        <w:rPr>
          <w:rFonts w:ascii="Times New Roman" w:hAnsi="Times New Roman" w:eastAsia="仿宋_GB2312"/>
          <w:color w:val="000000"/>
          <w:sz w:val="32"/>
          <w:szCs w:val="32"/>
        </w:rPr>
        <w:t>分</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绩效评级为“良好”</w:t>
      </w:r>
      <w:r>
        <w:rPr>
          <w:rFonts w:ascii="Times New Roman" w:hAnsi="Times New Roman" w:eastAsia="仿宋_GB2312"/>
          <w:color w:val="000000"/>
          <w:sz w:val="32"/>
          <w:szCs w:val="32"/>
        </w:rPr>
        <w:t>。项目全年预算数为</w:t>
      </w:r>
      <w:r>
        <w:rPr>
          <w:rFonts w:hint="eastAsia" w:ascii="Times New Roman" w:hAnsi="Times New Roman" w:eastAsia="仿宋_GB2312"/>
          <w:color w:val="000000"/>
          <w:sz w:val="32"/>
          <w:szCs w:val="32"/>
          <w:lang w:val="en-US" w:eastAsia="zh-CN"/>
        </w:rPr>
        <w:t>30</w:t>
      </w:r>
      <w:r>
        <w:rPr>
          <w:rFonts w:ascii="Times New Roman" w:hAnsi="Times New Roman" w:eastAsia="仿宋_GB2312"/>
          <w:color w:val="000000"/>
          <w:sz w:val="32"/>
          <w:szCs w:val="32"/>
        </w:rPr>
        <w:t>万元，执行数为</w:t>
      </w:r>
      <w:r>
        <w:rPr>
          <w:rFonts w:hint="eastAsia" w:ascii="Times New Roman" w:hAnsi="Times New Roman" w:eastAsia="仿宋_GB2312"/>
          <w:color w:val="000000"/>
          <w:sz w:val="32"/>
          <w:szCs w:val="32"/>
          <w:lang w:val="en-US" w:eastAsia="zh-CN"/>
        </w:rPr>
        <w:t>30</w:t>
      </w:r>
      <w:r>
        <w:rPr>
          <w:rFonts w:ascii="Times New Roman" w:hAnsi="Times New Roman" w:eastAsia="仿宋_GB2312"/>
          <w:color w:val="000000"/>
          <w:sz w:val="32"/>
          <w:szCs w:val="32"/>
        </w:rPr>
        <w:t>万元，完成预算的</w:t>
      </w:r>
      <w:r>
        <w:rPr>
          <w:rFonts w:hint="eastAsia" w:ascii="Times New Roman" w:hAnsi="Times New Roman" w:eastAsia="仿宋_GB2312"/>
          <w:color w:val="000000"/>
          <w:sz w:val="32"/>
          <w:szCs w:val="32"/>
          <w:lang w:val="en-US" w:eastAsia="zh-CN"/>
        </w:rPr>
        <w:t>100</w:t>
      </w:r>
      <w:r>
        <w:rPr>
          <w:rFonts w:ascii="Times New Roman" w:hAnsi="Times New Roman" w:eastAsia="仿宋_GB2312"/>
          <w:color w:val="000000"/>
          <w:sz w:val="32"/>
          <w:szCs w:val="32"/>
        </w:rPr>
        <w:t>%。主要产出和效果：</w:t>
      </w:r>
      <w:r>
        <w:rPr>
          <w:rFonts w:hint="eastAsia" w:ascii="Times New Roman" w:hAnsi="Times New Roman" w:eastAsia="仿宋_GB2312"/>
          <w:color w:val="000000"/>
          <w:sz w:val="32"/>
          <w:szCs w:val="32"/>
          <w:lang w:val="en-US" w:eastAsia="zh-CN"/>
        </w:rPr>
        <w:t>该项目取得了良好的经济、社会、生态效益，具有可持续性，被服务对象较为满意，加强了农资市场监管,保证化肥、农药市场供应和价格稳定,确保农业生产用肥、用药。</w:t>
      </w:r>
      <w:r>
        <w:rPr>
          <w:rFonts w:ascii="Times New Roman" w:hAnsi="Times New Roman" w:eastAsia="仿宋_GB2312"/>
          <w:color w:val="000000"/>
          <w:sz w:val="32"/>
          <w:szCs w:val="32"/>
        </w:rPr>
        <w:t>发现的主要问题及原因</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一是</w:t>
      </w:r>
      <w:r>
        <w:rPr>
          <w:rFonts w:hint="eastAsia" w:ascii="Times New Roman" w:hAnsi="Times New Roman" w:eastAsia="仿宋_GB2312"/>
          <w:color w:val="000000"/>
          <w:sz w:val="32"/>
          <w:szCs w:val="32"/>
        </w:rPr>
        <w:t>财务管理制度</w:t>
      </w:r>
      <w:r>
        <w:rPr>
          <w:rFonts w:hint="eastAsia" w:ascii="Times New Roman" w:hAnsi="Times New Roman" w:eastAsia="仿宋_GB2312"/>
          <w:color w:val="000000"/>
          <w:sz w:val="32"/>
          <w:szCs w:val="32"/>
          <w:lang w:val="en-US" w:eastAsia="zh-CN"/>
        </w:rPr>
        <w:t>有待完善；二是项目管理制度还不够健全；三是工作人员满意度有待提高。</w:t>
      </w:r>
      <w:r>
        <w:rPr>
          <w:rFonts w:ascii="Times New Roman" w:hAnsi="Times New Roman" w:eastAsia="仿宋_GB2312"/>
          <w:color w:val="000000"/>
          <w:sz w:val="32"/>
          <w:szCs w:val="32"/>
        </w:rPr>
        <w:t>下一步改进措施：一是</w:t>
      </w:r>
      <w:r>
        <w:rPr>
          <w:rFonts w:hint="eastAsia" w:ascii="Times New Roman" w:hAnsi="Times New Roman" w:eastAsia="仿宋_GB2312"/>
          <w:color w:val="000000"/>
          <w:sz w:val="32"/>
          <w:szCs w:val="32"/>
          <w:lang w:val="en-US" w:eastAsia="zh-CN"/>
        </w:rPr>
        <w:t>完善立项资料</w:t>
      </w:r>
      <w:r>
        <w:rPr>
          <w:rFonts w:ascii="Times New Roman" w:hAnsi="Times New Roman" w:eastAsia="仿宋_GB2312"/>
          <w:color w:val="000000"/>
          <w:sz w:val="32"/>
          <w:szCs w:val="32"/>
        </w:rPr>
        <w:t>；二是</w:t>
      </w:r>
      <w:r>
        <w:rPr>
          <w:rFonts w:hint="eastAsia" w:ascii="Times New Roman" w:hAnsi="Times New Roman" w:eastAsia="仿宋_GB2312"/>
          <w:color w:val="000000"/>
          <w:sz w:val="32"/>
          <w:szCs w:val="32"/>
          <w:lang w:val="en-US" w:eastAsia="zh-CN"/>
        </w:rPr>
        <w:t>完善业务管理制度，加强市供销社对社属企业和下级联社的指导职责；三是进一步细化财务管理制度，防范财务风险；四是项目设计和执行时要进一步密切关注农民需要求，提高受众人群满意度。</w:t>
      </w:r>
    </w:p>
    <w:p>
      <w:pPr>
        <w:shd w:val="clear" w:color="auto" w:fill="FFFFFF"/>
        <w:spacing w:line="576" w:lineRule="exact"/>
        <w:ind w:firstLine="640" w:firstLineChars="200"/>
        <w:jc w:val="both"/>
        <w:rPr>
          <w:rFonts w:hint="default" w:ascii="Times New Roman" w:hAnsi="Times New Roman" w:eastAsia="仿宋_GB2312"/>
          <w:color w:val="000000"/>
          <w:sz w:val="32"/>
          <w:szCs w:val="32"/>
          <w:lang w:val="en-US" w:eastAsia="zh-CN"/>
        </w:rPr>
      </w:pPr>
      <w:r>
        <w:rPr>
          <w:rFonts w:hint="eastAsia" w:ascii="黑体" w:hAnsi="黑体" w:eastAsia="黑体" w:cs="黑体"/>
          <w:color w:val="000000"/>
          <w:sz w:val="32"/>
          <w:szCs w:val="32"/>
          <w:lang w:val="en-US" w:eastAsia="zh-CN"/>
        </w:rPr>
        <w:t>十、</w:t>
      </w:r>
      <w:r>
        <w:rPr>
          <w:rFonts w:ascii="黑体" w:hAnsi="黑体" w:eastAsia="黑体"/>
          <w:bCs/>
          <w:color w:val="000000"/>
          <w:sz w:val="32"/>
          <w:szCs w:val="32"/>
        </w:rPr>
        <w:t>相关专业名词解释</w:t>
      </w:r>
    </w:p>
    <w:p>
      <w:pPr>
        <w:shd w:val="clear" w:color="auto" w:fill="FFFFFF"/>
        <w:spacing w:line="576" w:lineRule="exact"/>
        <w:ind w:firstLine="642" w:firstLineChars="200"/>
        <w:jc w:val="both"/>
        <w:rPr>
          <w:rFonts w:ascii="Times New Roman" w:hAnsi="Times New Roman" w:eastAsia="仿宋_GB2312"/>
          <w:color w:val="000000"/>
          <w:sz w:val="32"/>
          <w:szCs w:val="32"/>
        </w:rPr>
      </w:pPr>
      <w:r>
        <w:rPr>
          <w:rFonts w:ascii="Times New Roman" w:hAnsi="Times New Roman" w:eastAsia="仿宋_GB2312"/>
          <w:b/>
          <w:color w:val="000000"/>
          <w:sz w:val="32"/>
          <w:szCs w:val="32"/>
        </w:rPr>
        <w:t>例如：</w:t>
      </w:r>
      <w:r>
        <w:rPr>
          <w:rFonts w:ascii="Times New Roman" w:hAnsi="Times New Roman" w:eastAsia="仿宋_GB2312"/>
          <w:color w:val="000000"/>
          <w:sz w:val="32"/>
          <w:szCs w:val="32"/>
        </w:rPr>
        <w:t xml:space="preserve"> </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1.财政拨款收入：指中央财政当年拨付的资金。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2.事业收入：指事业单位开展业务活动取得的收入。</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3.经营收入：指事业单位在业务活动之外开展非独立核算经营活动取得的收入。</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4.其他收入：指预算单位在“财政拨款收入”“事业收入”“经营收入”之外取得的收入。</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5.用事业基金弥补收支差额：指事业单位在当年的“财政拨款收入”“事业收入”“经营收入”“其他收入”不足以安排当年支出的情况下，使用以前年度积累的事业基金（即事业单位以前各年度收支相抵后，按国家规定提取、用于弥补以后年度收支差额的基金）弥补当年收支缺口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6.上年结转和结余：指单位以前年度尚未完成、结转到本年仍按有关规定继续使用的资金。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7.一般公共服务（类）纪检监察事务（款）派驻派出机构（项）：指由纪检监察部门负担的派驻各部门和单位的纪检监察人员的专项业务支出。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8.结余分配：指事业单位按照会计制度规定缴纳的所得税以及从非财政拨款结余中提取的职工福利基金、事业基金。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9.年末结转和结余：指单位按有关规定结转到下年或以后年度继续使用的资金。</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10.基本支出：指为保障机构正常运转、完成日常工作任务而发生的人员支出和公用支出。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11.项目支出：指在基本支出之外为完成特定行政任务和事业发展目标所发生的支出。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12.经营支出：指事业单位在业务之外开展非独立核算经营活动发生的支出。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13.“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p>
    <w:p>
      <w:pPr>
        <w:shd w:val="clear" w:color="auto" w:fill="FFFFFF"/>
        <w:spacing w:line="576"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14.机关运行经费：指为保障行政单位（含参照公务员法管理的事业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15.工资福利支出（支出经济分类科目类级）：反映单位开支的在职职工和编制外长期聘用人员的各类劳动报酬，以及为上述人员缴纳的各项社会保险费等。</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16.商品和服务支出（支出经济分类科目类级）：反映单位</w:t>
      </w:r>
    </w:p>
    <w:p>
      <w:pPr>
        <w:shd w:val="clear" w:color="auto" w:fill="FFFFFF"/>
        <w:spacing w:line="576" w:lineRule="exact"/>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购买商品和服务的支出（不包括用于购置固定资产的支出、战略性和应急储备支出）。</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17.对个人和家庭的补助（支出经济分类科目类级）：反映用于对个人和家庭的补助支出。</w:t>
      </w:r>
    </w:p>
    <w:p>
      <w:pPr>
        <w:shd w:val="clear" w:color="auto" w:fill="FFFFFF"/>
        <w:spacing w:line="576" w:lineRule="exact"/>
        <w:ind w:firstLine="640" w:firstLineChars="200"/>
        <w:jc w:val="both"/>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18.其他资本性支出（支出经济分类科目类级）：反映非各级发展与改革部门集中安排的用于购置固定资产、战略性和应急性储备、土地和无形资产，以及构建基础设施、大型修缮和财政支持企业更新改造所发生的支出。 </w:t>
      </w:r>
    </w:p>
    <w:p>
      <w:pPr>
        <w:keepNext w:val="0"/>
        <w:keepLines w:val="0"/>
        <w:pageBreakBefore w:val="0"/>
        <w:shd w:val="clear" w:color="auto" w:fill="FFFFFF"/>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p>
    <w:p>
      <w:pPr>
        <w:keepNext w:val="0"/>
        <w:keepLines w:val="0"/>
        <w:pageBreakBefore w:val="0"/>
        <w:shd w:val="clear" w:color="auto" w:fill="FFFFFF"/>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附件1：</w:t>
      </w:r>
      <w:r>
        <w:rPr>
          <w:rFonts w:hint="eastAsia" w:ascii="仿宋_GB2312" w:hAnsi="仿宋_GB2312" w:eastAsia="仿宋_GB2312" w:cs="仿宋_GB2312"/>
          <w:b w:val="0"/>
          <w:bCs w:val="0"/>
          <w:color w:val="000000"/>
          <w:sz w:val="32"/>
          <w:szCs w:val="32"/>
          <w:lang w:eastAsia="zh-CN"/>
        </w:rPr>
        <w:t>天水市供销合作社</w:t>
      </w:r>
      <w:r>
        <w:rPr>
          <w:rFonts w:hint="eastAsia" w:ascii="仿宋_GB2312" w:hAnsi="仿宋_GB2312" w:eastAsia="仿宋_GB2312" w:cs="仿宋_GB2312"/>
          <w:b w:val="0"/>
          <w:bCs w:val="0"/>
          <w:color w:val="000000"/>
          <w:sz w:val="32"/>
          <w:szCs w:val="32"/>
        </w:rPr>
        <w:t>201</w:t>
      </w:r>
      <w:r>
        <w:rPr>
          <w:rFonts w:hint="eastAsia" w:ascii="仿宋_GB2312" w:hAnsi="仿宋_GB2312" w:eastAsia="仿宋_GB2312" w:cs="仿宋_GB2312"/>
          <w:b w:val="0"/>
          <w:bCs w:val="0"/>
          <w:color w:val="000000"/>
          <w:sz w:val="32"/>
          <w:szCs w:val="32"/>
          <w:lang w:val="en-US" w:eastAsia="zh-CN"/>
        </w:rPr>
        <w:t>9</w:t>
      </w:r>
      <w:r>
        <w:rPr>
          <w:rFonts w:hint="eastAsia" w:ascii="仿宋_GB2312" w:hAnsi="仿宋_GB2312" w:eastAsia="仿宋_GB2312" w:cs="仿宋_GB2312"/>
          <w:b w:val="0"/>
          <w:bCs w:val="0"/>
          <w:color w:val="000000"/>
          <w:sz w:val="32"/>
          <w:szCs w:val="32"/>
        </w:rPr>
        <w:t>年部门决算表</w:t>
      </w:r>
    </w:p>
    <w:p>
      <w:pPr>
        <w:shd w:val="clear" w:color="auto" w:fill="FFFFFF"/>
        <w:spacing w:line="576" w:lineRule="exact"/>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2：财政项目支出绩效自评价报告表</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4"/>
                              <w:szCs w:val="24"/>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4"/>
                        <w:szCs w:val="24"/>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DF7AFA"/>
    <w:multiLevelType w:val="singleLevel"/>
    <w:tmpl w:val="39DF7AF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5F4453"/>
    <w:rsid w:val="09070842"/>
    <w:rsid w:val="205575C2"/>
    <w:rsid w:val="257432C6"/>
    <w:rsid w:val="535F4453"/>
    <w:rsid w:val="60B24A17"/>
    <w:rsid w:val="66070C8A"/>
    <w:rsid w:val="6FF20181"/>
    <w:rsid w:val="AF8F9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2020-09-15T09:57:00Z</dcterms:created>
  <dc:creator>003</dc:creator>
  <cp:lastModifiedBy>WPS_1682653788</cp:lastModifiedBy>
  <dcterms:modified xsi:type="dcterms:W3CDTF">2024-12-03T10:06:49Z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C2A036EEE6DD40F3B28001853A8BDE42</vt:lpwstr>
  </property>
</Properties>
</file>