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1</w:t>
      </w: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p>
    <w:p>
      <w:pPr>
        <w:spacing w:line="680" w:lineRule="exact"/>
        <w:ind w:left="6" w:right="4"/>
        <w:jc w:val="center"/>
        <w:rPr>
          <w:rFonts w:ascii="宋体" w:hAnsi="宋体" w:eastAsia="宋体"/>
          <w:b/>
          <w:sz w:val="44"/>
          <w:szCs w:val="44"/>
        </w:rPr>
      </w:pPr>
      <w:r>
        <w:rPr>
          <w:rFonts w:hint="eastAsia" w:ascii="宋体" w:hAnsi="宋体" w:eastAsia="宋体" w:cs="Times New Roman"/>
          <w:b/>
          <w:sz w:val="44"/>
          <w:szCs w:val="44"/>
        </w:rPr>
        <w:t>秦州区枣园村陈家庄（组）片区城市更新改造</w:t>
      </w:r>
      <w:r>
        <w:rPr>
          <w:rFonts w:hint="eastAsia" w:ascii="宋体" w:hAnsi="宋体" w:cs="Times New Roman"/>
          <w:b/>
          <w:sz w:val="44"/>
          <w:szCs w:val="44"/>
          <w:lang w:val="en-US" w:eastAsia="zh-CN"/>
        </w:rPr>
        <w:t>项目</w:t>
      </w:r>
      <w:r>
        <w:rPr>
          <w:rFonts w:hint="eastAsia" w:ascii="宋体" w:hAnsi="宋体" w:eastAsia="宋体" w:cs="Times New Roman"/>
          <w:b/>
          <w:sz w:val="44"/>
          <w:szCs w:val="44"/>
        </w:rPr>
        <w:t>房屋征收过渡费</w:t>
      </w:r>
      <w:r>
        <w:rPr>
          <w:rFonts w:ascii="宋体" w:hAnsi="宋体" w:eastAsia="宋体"/>
          <w:b/>
          <w:bCs/>
          <w:sz w:val="44"/>
          <w:szCs w:val="44"/>
        </w:rPr>
        <w:t>支出绩效评价报告</w:t>
      </w:r>
    </w:p>
    <w:p>
      <w:pPr>
        <w:pStyle w:val="2"/>
        <w:spacing w:line="680" w:lineRule="exact"/>
        <w:rPr>
          <w:sz w:val="56"/>
        </w:rPr>
      </w:pPr>
    </w:p>
    <w:p>
      <w:pPr>
        <w:pStyle w:val="2"/>
        <w:spacing w:line="680" w:lineRule="exact"/>
        <w:rPr>
          <w:sz w:val="56"/>
        </w:rPr>
      </w:pPr>
    </w:p>
    <w:p>
      <w:pPr>
        <w:spacing w:line="578" w:lineRule="exact"/>
        <w:ind w:left="1600" w:hanging="1600" w:hangingChars="500"/>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rPr>
          <w:rFonts w:ascii="仿宋_GB2312" w:hAnsi="仿宋" w:eastAsia="仿宋_GB2312" w:cs="仿宋"/>
          <w:sz w:val="32"/>
          <w:szCs w:val="32"/>
        </w:rPr>
      </w:pPr>
    </w:p>
    <w:p>
      <w:pPr>
        <w:spacing w:line="578" w:lineRule="exact"/>
        <w:ind w:left="3200" w:hanging="3200" w:hangingChars="10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秦州区枣园村陈家庄（组）片区城市更新改造项目房屋征收过渡费项目</w:t>
      </w:r>
      <w:r>
        <w:rPr>
          <w:rFonts w:hint="eastAsia" w:ascii="仿宋_GB2312" w:hAnsi="仿宋" w:eastAsia="仿宋_GB2312" w:cs="仿宋"/>
          <w:sz w:val="32"/>
          <w:szCs w:val="32"/>
          <w:u w:val="single"/>
        </w:rPr>
        <w:t xml:space="preserve">                 </w:t>
      </w: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
    <w:p>
      <w:bookmarkStart w:id="0" w:name="_GoBack"/>
      <w:bookmarkEnd w:id="0"/>
    </w:p>
    <w:p>
      <w:r>
        <w:rPr>
          <w:rFonts w:hint="eastAsia"/>
          <w:sz w:val="32"/>
          <w:szCs w:val="32"/>
          <w:lang w:val="en-US" w:eastAsia="zh-CN"/>
        </w:rPr>
        <w:t xml:space="preserve">                     2024年 5 月</w:t>
      </w:r>
    </w:p>
    <w:p>
      <w:pPr>
        <w:sectPr>
          <w:headerReference r:id="rId3" w:type="default"/>
          <w:footerReference r:id="rId4" w:type="default"/>
          <w:pgSz w:w="11906" w:h="16838"/>
          <w:pgMar w:top="2098" w:right="1531" w:bottom="1984" w:left="1531" w:header="851" w:footer="992" w:gutter="0"/>
          <w:pgNumType w:fmt="decimal" w:start="1"/>
          <w:cols w:space="720" w:num="1"/>
          <w:docGrid w:type="lines" w:linePitch="312" w:charSpace="0"/>
        </w:sectPr>
      </w:pPr>
    </w:p>
    <w:p>
      <w:pPr>
        <w:spacing w:line="660" w:lineRule="exact"/>
        <w:ind w:left="5" w:right="4"/>
        <w:jc w:val="center"/>
        <w:rPr>
          <w:rFonts w:ascii="宋体" w:hAnsi="宋体"/>
          <w:b/>
          <w:sz w:val="44"/>
          <w:szCs w:val="44"/>
        </w:rPr>
      </w:pPr>
      <w:r>
        <w:rPr>
          <w:rFonts w:hint="eastAsia" w:ascii="宋体" w:hAnsi="宋体"/>
          <w:b/>
          <w:sz w:val="44"/>
          <w:szCs w:val="44"/>
        </w:rPr>
        <w:t>报告摘要</w:t>
      </w:r>
    </w:p>
    <w:p>
      <w:pPr>
        <w:pStyle w:val="2"/>
        <w:spacing w:line="660" w:lineRule="exact"/>
        <w:ind w:left="753"/>
        <w:rPr>
          <w:rFonts w:ascii="黑体" w:eastAsia="黑体"/>
        </w:rPr>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（一）项目立项背景及实施目的</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（二）项目预算安排和支出情况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（三）项目主要内容和实施情况</w:t>
      </w:r>
    </w:p>
    <w:p>
      <w:pPr>
        <w:pStyle w:val="2"/>
        <w:spacing w:line="660" w:lineRule="exact"/>
        <w:ind w:left="752"/>
        <w:rPr>
          <w:rFonts w:ascii="黑体" w:eastAsia="黑体"/>
        </w:rPr>
      </w:pPr>
      <w:r>
        <w:rPr>
          <w:rFonts w:hint="eastAsia" w:ascii="黑体" w:eastAsia="黑体"/>
        </w:rPr>
        <w:t>二、项目绩效目标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（一）总体绩效目标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w:t>
      </w:r>
      <w:r>
        <w:rPr>
          <w:rFonts w:hint="eastAsia" w:ascii="仿宋_GB2312" w:hAnsi="Times New Roman" w:eastAsia="仿宋_GB2312" w:cs="Times New Roman"/>
        </w:rPr>
        <w:t>202</w:t>
      </w:r>
      <w:r>
        <w:rPr>
          <w:rFonts w:hint="eastAsia" w:ascii="仿宋_GB2312" w:hAnsi="Times New Roman" w:eastAsia="仿宋_GB2312" w:cs="Times New Roman"/>
          <w:lang w:val="en-US" w:eastAsia="zh-CN"/>
        </w:rPr>
        <w:t>3</w:t>
      </w:r>
      <w:r>
        <w:rPr>
          <w:rFonts w:hint="eastAsia" w:ascii="仿宋_GB2312" w:hAnsi="Times New Roman" w:eastAsia="仿宋_GB2312" w:cs="Times New Roman"/>
        </w:rPr>
        <w:t>年度（或阶段性）绩效目</w:t>
      </w:r>
      <w:r>
        <w:rPr>
          <w:rFonts w:hint="eastAsia" w:ascii="Times New Roman" w:hAnsi="Times New Roman" w:eastAsia="仿宋_GB2312" w:cs="Times New Roman"/>
        </w:rPr>
        <w:t>标</w:t>
      </w:r>
    </w:p>
    <w:p>
      <w:pPr>
        <w:pStyle w:val="2"/>
        <w:spacing w:line="660" w:lineRule="exact"/>
        <w:ind w:left="752"/>
        <w:rPr>
          <w:rFonts w:ascii="黑体" w:eastAsia="黑体"/>
        </w:rPr>
      </w:pPr>
      <w:r>
        <w:rPr>
          <w:rFonts w:hint="eastAsia" w:ascii="黑体" w:eastAsia="黑体"/>
        </w:rPr>
        <w:t>三、评价基本情况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（一）绩效评价目的、对象和范围</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（二）绩效评价原则、评价指标体系（简要说明）、评价方法、评价标准等</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（三）绩效评价工作过程</w:t>
      </w:r>
    </w:p>
    <w:p>
      <w:pPr>
        <w:pStyle w:val="2"/>
        <w:spacing w:line="660" w:lineRule="exact"/>
        <w:ind w:left="752"/>
        <w:rPr>
          <w:rFonts w:ascii="黑体" w:eastAsia="黑体"/>
        </w:rPr>
      </w:pPr>
      <w:r>
        <w:rPr>
          <w:rFonts w:hint="eastAsia" w:ascii="黑体" w:eastAsia="黑体"/>
        </w:rPr>
        <w:t>四、评价结论和绩效分析</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（一）综合评价结论</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（二）绩效分析</w:t>
      </w:r>
    </w:p>
    <w:p>
      <w:pPr>
        <w:pStyle w:val="2"/>
        <w:spacing w:line="660" w:lineRule="exact"/>
        <w:ind w:left="752" w:right="4738"/>
        <w:rPr>
          <w:rFonts w:ascii="黑体" w:eastAsia="黑体"/>
        </w:rPr>
      </w:pPr>
      <w:r>
        <w:rPr>
          <w:rFonts w:hint="eastAsia" w:ascii="黑体" w:eastAsia="黑体"/>
        </w:rPr>
        <w:t>五、存在问题及原因分析</w:t>
      </w:r>
    </w:p>
    <w:p>
      <w:pPr>
        <w:pStyle w:val="2"/>
        <w:spacing w:line="660" w:lineRule="exact"/>
        <w:ind w:left="752" w:right="4738"/>
        <w:rPr>
          <w:rFonts w:ascii="黑体" w:eastAsia="黑体"/>
        </w:rPr>
      </w:pPr>
      <w:r>
        <w:rPr>
          <w:rFonts w:hint="eastAsia" w:ascii="黑体" w:eastAsia="黑体"/>
        </w:rPr>
        <w:t>六、有关建议</w:t>
      </w:r>
    </w:p>
    <w:p>
      <w:pPr>
        <w:pStyle w:val="2"/>
        <w:spacing w:line="660" w:lineRule="exact"/>
        <w:ind w:left="111" w:right="125" w:firstLine="639"/>
        <w:rPr>
          <w:rFonts w:ascii="黑体" w:eastAsia="黑体"/>
        </w:rPr>
        <w:sectPr>
          <w:footerReference r:id="rId5" w:type="default"/>
          <w:pgSz w:w="11910" w:h="16840"/>
          <w:pgMar w:top="1600" w:right="1360" w:bottom="1320" w:left="1360" w:header="0" w:footer="1134" w:gutter="0"/>
          <w:pgNumType w:fmt="decimal"/>
          <w:cols w:space="720" w:num="1"/>
        </w:sectPr>
      </w:pPr>
    </w:p>
    <w:p/>
    <w:p>
      <w:pPr>
        <w:ind w:firstLine="2520" w:firstLineChars="1200"/>
        <w:rPr>
          <w:rFonts w:hint="eastAsia"/>
          <w:lang w:val="en-US" w:eastAsia="zh-CN"/>
        </w:rPr>
      </w:pPr>
    </w:p>
    <w:p>
      <w:pPr>
        <w:ind w:firstLine="2520" w:firstLineChars="1200"/>
        <w:rPr>
          <w:rFonts w:hint="eastAsia"/>
          <w:lang w:val="en-US" w:eastAsia="zh-CN"/>
        </w:rPr>
      </w:pPr>
    </w:p>
    <w:p>
      <w:pPr>
        <w:ind w:firstLine="2520" w:firstLineChars="1200"/>
        <w:rPr>
          <w:rFonts w:hint="eastAsia"/>
          <w:b/>
          <w:bCs/>
          <w:sz w:val="44"/>
          <w:szCs w:val="44"/>
          <w:lang w:val="en-US" w:eastAsia="zh-CN"/>
        </w:rPr>
      </w:pPr>
      <w:r>
        <w:rPr>
          <w:rFonts w:hint="eastAsia"/>
          <w:lang w:val="en-US" w:eastAsia="zh-CN"/>
        </w:rPr>
        <w:t xml:space="preserve">          </w:t>
      </w:r>
      <w:r>
        <w:rPr>
          <w:rFonts w:hint="eastAsia"/>
          <w:b/>
          <w:bCs/>
          <w:sz w:val="44"/>
          <w:szCs w:val="44"/>
          <w:lang w:val="en-US" w:eastAsia="zh-CN"/>
        </w:rPr>
        <w:t>报告正文</w:t>
      </w:r>
    </w:p>
    <w:p>
      <w:pPr>
        <w:ind w:firstLine="5301" w:firstLineChars="1200"/>
        <w:rPr>
          <w:rFonts w:hint="default"/>
          <w:b/>
          <w:bCs/>
          <w:sz w:val="44"/>
          <w:szCs w:val="44"/>
          <w:lang w:val="en-US" w:eastAsia="zh-CN"/>
        </w:rPr>
      </w:pP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一、项目基本情况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（一）项目立项背景。</w:t>
      </w:r>
    </w:p>
    <w:p>
      <w:pPr>
        <w:keepNext w:val="0"/>
        <w:keepLines w:val="0"/>
        <w:pageBreakBefore w:val="0"/>
        <w:widowControl w:val="0"/>
        <w:numPr>
          <w:ilvl w:val="0"/>
          <w:numId w:val="0"/>
        </w:numPr>
        <w:tabs>
          <w:tab w:val="left" w:pos="8100"/>
          <w:tab w:val="left" w:pos="10260"/>
        </w:tabs>
        <w:kinsoku/>
        <w:wordWrap/>
        <w:overflowPunct/>
        <w:topLinePunct w:val="0"/>
        <w:autoSpaceDE/>
        <w:autoSpaceDN/>
        <w:bidi w:val="0"/>
        <w:adjustRightInd/>
        <w:snapToGrid/>
        <w:spacing w:line="576" w:lineRule="exact"/>
        <w:ind w:right="26" w:firstLine="640" w:firstLineChars="200"/>
        <w:jc w:val="both"/>
        <w:textAlignment w:val="auto"/>
        <w:rPr>
          <w:rFonts w:hint="default" w:ascii="仿宋" w:hAnsi="仿宋" w:eastAsia="仿宋" w:cs="仿宋"/>
          <w:sz w:val="32"/>
          <w:szCs w:val="32"/>
          <w:lang w:val="en-US"/>
        </w:rPr>
      </w:pPr>
      <w:r>
        <w:rPr>
          <w:rFonts w:hint="eastAsia" w:ascii="仿宋" w:hAnsi="仿宋" w:eastAsia="仿宋" w:cs="仿宋"/>
          <w:bCs/>
          <w:sz w:val="32"/>
          <w:szCs w:val="32"/>
          <w:lang w:val="en-US" w:eastAsia="zh-CN"/>
        </w:rPr>
        <w:t>秦州区枣园村陈家庄（组）片区城市更新改造项目</w:t>
      </w:r>
      <w:r>
        <w:rPr>
          <w:rFonts w:hint="eastAsia" w:ascii="仿宋" w:hAnsi="仿宋" w:eastAsia="仿宋" w:cs="仿宋"/>
          <w:sz w:val="32"/>
          <w:szCs w:val="32"/>
          <w:lang w:val="en-US" w:eastAsia="zh-CN"/>
        </w:rPr>
        <w:t>是市委、市政府</w:t>
      </w:r>
      <w:r>
        <w:rPr>
          <w:rFonts w:hint="eastAsia" w:ascii="仿宋" w:hAnsi="仿宋" w:eastAsia="仿宋" w:cs="仿宋"/>
          <w:sz w:val="32"/>
          <w:szCs w:val="32"/>
        </w:rPr>
        <w:t>确定实施的重点项目，</w:t>
      </w:r>
      <w:r>
        <w:rPr>
          <w:rFonts w:hint="eastAsia" w:ascii="仿宋" w:hAnsi="仿宋" w:eastAsia="仿宋" w:cs="仿宋"/>
          <w:sz w:val="32"/>
          <w:szCs w:val="32"/>
          <w:lang w:val="en-US" w:eastAsia="zh-CN"/>
        </w:rPr>
        <w:t>这些</w:t>
      </w:r>
      <w:r>
        <w:rPr>
          <w:rFonts w:hint="eastAsia" w:ascii="仿宋" w:hAnsi="仿宋" w:eastAsia="仿宋" w:cs="仿宋"/>
          <w:sz w:val="32"/>
          <w:szCs w:val="32"/>
        </w:rPr>
        <w:t>项目的实施对完善城市功能、改善城市环境、提升</w:t>
      </w:r>
      <w:r>
        <w:rPr>
          <w:rFonts w:hint="eastAsia" w:ascii="仿宋" w:hAnsi="仿宋" w:eastAsia="仿宋" w:cs="仿宋"/>
          <w:sz w:val="32"/>
          <w:szCs w:val="32"/>
          <w:lang w:val="en-US" w:eastAsia="zh-CN"/>
        </w:rPr>
        <w:t>城市</w:t>
      </w:r>
      <w:r>
        <w:rPr>
          <w:rFonts w:hint="eastAsia" w:ascii="仿宋" w:hAnsi="仿宋" w:eastAsia="仿宋" w:cs="仿宋"/>
          <w:sz w:val="32"/>
          <w:szCs w:val="32"/>
        </w:rPr>
        <w:t>综合承载能力具有十分重大的意义。</w:t>
      </w:r>
      <w:r>
        <w:rPr>
          <w:rFonts w:hint="eastAsia" w:ascii="仿宋" w:hAnsi="仿宋" w:eastAsia="仿宋" w:cs="仿宋"/>
          <w:sz w:val="32"/>
          <w:szCs w:val="32"/>
          <w:lang w:val="en-US" w:eastAsia="zh-CN"/>
        </w:rPr>
        <w:t>位于</w:t>
      </w:r>
      <w:r>
        <w:rPr>
          <w:rFonts w:hint="default" w:ascii="Times New Roman" w:hAnsi="Times New Roman" w:eastAsia="仿宋_GB2312" w:cs="Times New Roman"/>
          <w:sz w:val="32"/>
          <w:szCs w:val="32"/>
          <w:lang w:val="en-US" w:eastAsia="zh-CN"/>
        </w:rPr>
        <w:t>东至海林北厂，西至规划道路，南至岷山路，北至皇城路，涉及被征收户</w:t>
      </w:r>
      <w:r>
        <w:rPr>
          <w:rFonts w:hint="eastAsia" w:ascii="Times New Roman" w:hAnsi="Times New Roman" w:eastAsia="仿宋_GB2312" w:cs="Times New Roman"/>
          <w:sz w:val="32"/>
          <w:szCs w:val="32"/>
          <w:lang w:val="en-US" w:eastAsia="zh-CN"/>
        </w:rPr>
        <w:t>234</w:t>
      </w:r>
      <w:r>
        <w:rPr>
          <w:rFonts w:hint="default" w:ascii="Times New Roman" w:hAnsi="Times New Roman" w:eastAsia="仿宋_GB2312" w:cs="Times New Roman"/>
          <w:sz w:val="32"/>
          <w:szCs w:val="32"/>
          <w:lang w:val="en-US" w:eastAsia="zh-CN"/>
        </w:rPr>
        <w:t>户，房屋征收面积约</w:t>
      </w:r>
      <w:r>
        <w:rPr>
          <w:rFonts w:hint="eastAsia" w:ascii="Times New Roman" w:hAnsi="Times New Roman" w:eastAsia="仿宋_GB2312" w:cs="Times New Roman"/>
          <w:sz w:val="32"/>
          <w:szCs w:val="32"/>
          <w:lang w:val="en-US" w:eastAsia="zh-CN"/>
        </w:rPr>
        <w:t>5.44</w:t>
      </w:r>
      <w:r>
        <w:rPr>
          <w:rFonts w:hint="default" w:ascii="Times New Roman" w:hAnsi="Times New Roman" w:eastAsia="仿宋_GB2312" w:cs="Times New Roman"/>
          <w:sz w:val="32"/>
          <w:szCs w:val="32"/>
          <w:lang w:val="en-US" w:eastAsia="zh-CN"/>
        </w:rPr>
        <w:t>万平方米</w:t>
      </w:r>
      <w:r>
        <w:rPr>
          <w:rFonts w:hint="eastAsia" w:ascii="仿宋" w:hAnsi="仿宋" w:eastAsia="仿宋" w:cs="仿宋"/>
          <w:sz w:val="32"/>
          <w:szCs w:val="32"/>
          <w:lang w:val="en-US" w:eastAsia="zh-CN"/>
        </w:rPr>
        <w:t>，</w:t>
      </w:r>
      <w:r>
        <w:rPr>
          <w:rFonts w:hint="eastAsia" w:ascii="仿宋" w:hAnsi="仿宋" w:eastAsia="仿宋" w:cs="仿宋"/>
          <w:bCs/>
          <w:sz w:val="32"/>
          <w:szCs w:val="32"/>
          <w:lang w:val="en-US" w:eastAsia="zh-CN"/>
        </w:rPr>
        <w:t>天水市城市更新服务中心</w:t>
      </w:r>
      <w:r>
        <w:rPr>
          <w:rFonts w:hint="eastAsia" w:ascii="仿宋" w:hAnsi="仿宋" w:eastAsia="仿宋" w:cs="仿宋"/>
          <w:sz w:val="32"/>
          <w:szCs w:val="32"/>
          <w:lang w:val="en-US" w:eastAsia="zh-CN"/>
        </w:rPr>
        <w:t>于2021年4月开始征收。</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（二）项目预算安排及使用情况。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ascii="Times New Roman" w:hAnsi="Times New Roman" w:eastAsia="仿宋_GB2312" w:cs="Times New Roman"/>
        </w:rPr>
      </w:pPr>
      <w:r>
        <w:rPr>
          <w:rFonts w:hint="eastAsia" w:ascii="仿宋_GB2312" w:hAnsi="仿宋" w:eastAsia="仿宋_GB2312"/>
          <w:sz w:val="32"/>
          <w:szCs w:val="32"/>
          <w:lang w:val="en-US" w:eastAsia="zh-CN"/>
        </w:rPr>
        <w:t>2023年</w:t>
      </w:r>
      <w:r>
        <w:rPr>
          <w:rFonts w:hint="eastAsia" w:ascii="仿宋" w:hAnsi="仿宋" w:eastAsia="仿宋" w:cs="仿宋"/>
          <w:bCs/>
          <w:sz w:val="32"/>
          <w:szCs w:val="32"/>
          <w:lang w:val="en-US" w:eastAsia="zh-CN"/>
        </w:rPr>
        <w:t>秦州区枣园村陈家庄（组）片区城市更新改造项目房屋征收过渡费</w:t>
      </w:r>
      <w:r>
        <w:rPr>
          <w:rFonts w:hint="eastAsia" w:ascii="仿宋_GB2312" w:hAnsi="仿宋" w:eastAsia="仿宋_GB2312"/>
          <w:sz w:val="32"/>
          <w:szCs w:val="32"/>
          <w:lang w:val="en-US" w:eastAsia="zh-CN"/>
        </w:rPr>
        <w:t>预算数1501.01万元，</w:t>
      </w:r>
      <w:r>
        <w:rPr>
          <w:rFonts w:hint="eastAsia" w:ascii="Times New Roman" w:hAnsi="仿宋_GB2312" w:eastAsia="仿宋_GB2312"/>
          <w:sz w:val="32"/>
          <w:szCs w:val="32"/>
          <w:lang w:eastAsia="zh-CN"/>
        </w:rPr>
        <w:t>本级财政拨款</w:t>
      </w:r>
      <w:r>
        <w:rPr>
          <w:rFonts w:hint="eastAsia" w:ascii="Times New Roman" w:hAnsi="仿宋_GB2312" w:eastAsia="仿宋_GB2312"/>
          <w:sz w:val="32"/>
          <w:szCs w:val="32"/>
          <w:lang w:val="en-US" w:eastAsia="zh-CN"/>
        </w:rPr>
        <w:t>683.78万元，</w:t>
      </w:r>
      <w:r>
        <w:rPr>
          <w:rFonts w:hint="eastAsia" w:ascii="仿宋_GB2312" w:hAnsi="仿宋" w:eastAsia="仿宋_GB2312"/>
          <w:sz w:val="32"/>
          <w:szCs w:val="32"/>
          <w:lang w:val="en-US" w:eastAsia="zh-CN"/>
        </w:rPr>
        <w:t>实际执行683.78万元.剩余资金817.23万元由于财政资金紧张暂未拨付。</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项目计划内容及实施情况。</w:t>
      </w:r>
    </w:p>
    <w:p>
      <w:pPr>
        <w:pStyle w:val="2"/>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576" w:lineRule="exact"/>
        <w:ind w:left="200" w:leftChars="0" w:right="125" w:firstLine="440" w:firstLineChars="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lang w:val="en-US" w:eastAsia="zh-CN"/>
        </w:rPr>
        <w:t>经天水市人民政府决定对</w:t>
      </w:r>
      <w:r>
        <w:rPr>
          <w:rFonts w:hint="eastAsia" w:ascii="仿宋" w:hAnsi="仿宋" w:eastAsia="仿宋" w:cs="仿宋"/>
          <w:bCs/>
          <w:sz w:val="32"/>
          <w:szCs w:val="32"/>
          <w:lang w:val="en-US" w:eastAsia="zh-CN"/>
        </w:rPr>
        <w:t>秦州区枣园村陈家庄（组）片区城市更新改造项目位</w:t>
      </w:r>
      <w:r>
        <w:rPr>
          <w:rFonts w:hint="eastAsia" w:ascii="仿宋" w:hAnsi="仿宋" w:eastAsia="仿宋" w:cs="仿宋"/>
          <w:sz w:val="32"/>
          <w:szCs w:val="32"/>
          <w:lang w:val="en-US" w:eastAsia="zh-CN"/>
        </w:rPr>
        <w:t>于</w:t>
      </w:r>
      <w:r>
        <w:rPr>
          <w:rFonts w:hint="default" w:ascii="Times New Roman" w:hAnsi="Times New Roman" w:eastAsia="仿宋_GB2312" w:cs="Times New Roman"/>
          <w:sz w:val="32"/>
          <w:szCs w:val="32"/>
          <w:lang w:val="en-US" w:eastAsia="zh-CN"/>
        </w:rPr>
        <w:t>东至海林北厂，西至规划道路，南至岷山路，北至皇城路</w:t>
      </w:r>
      <w:r>
        <w:rPr>
          <w:rFonts w:hint="eastAsia" w:ascii="Times New Roman" w:hAnsi="Times New Roman" w:eastAsia="仿宋_GB2312" w:cs="Times New Roman"/>
          <w:sz w:val="32"/>
          <w:szCs w:val="32"/>
          <w:lang w:val="en-US" w:eastAsia="zh-CN"/>
        </w:rPr>
        <w:t>的房屋实施征收。</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6" w:lineRule="exact"/>
        <w:ind w:left="200" w:leftChars="0" w:right="125" w:firstLine="640" w:firstLineChars="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本单位于2021年4月开始征收</w:t>
      </w:r>
      <w:r>
        <w:rPr>
          <w:rFonts w:hint="eastAsia" w:ascii="仿宋" w:hAnsi="仿宋" w:eastAsia="仿宋" w:cs="仿宋"/>
          <w:bCs/>
          <w:sz w:val="32"/>
          <w:szCs w:val="32"/>
          <w:lang w:val="en-US" w:eastAsia="zh-CN"/>
        </w:rPr>
        <w:t>秦州区枣园村陈家庄（组）片区城市更新改造项目</w:t>
      </w:r>
      <w:r>
        <w:rPr>
          <w:rFonts w:hint="eastAsia" w:ascii="Times New Roman" w:hAnsi="Times New Roman" w:eastAsia="仿宋_GB2312" w:cs="Times New Roman"/>
          <w:lang w:val="en-US" w:eastAsia="zh-CN"/>
        </w:rPr>
        <w:t>，力争于2025年12月底前完成房屋征收任务，完善城市功能、改善城市环境。</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（四）项目组织管理。</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w:t>
      </w:r>
      <w:r>
        <w:rPr>
          <w:rFonts w:hint="eastAsia" w:ascii="仿宋" w:hAnsi="仿宋" w:eastAsia="仿宋" w:cs="仿宋"/>
          <w:bCs/>
          <w:sz w:val="32"/>
          <w:szCs w:val="32"/>
          <w:lang w:val="en-US" w:eastAsia="zh-CN"/>
        </w:rPr>
        <w:t>秦州区枣园村陈家庄（组）片区城市更新改造项目</w:t>
      </w:r>
      <w:r>
        <w:rPr>
          <w:rFonts w:hint="eastAsia" w:ascii="Times New Roman" w:hAnsi="Times New Roman" w:eastAsia="仿宋_GB2312" w:cs="Times New Roman"/>
          <w:lang w:val="en-US" w:eastAsia="zh-CN"/>
        </w:rPr>
        <w:t>由天水市城市更新服务中主管。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highlight w:val="none"/>
          <w:lang w:val="en-US" w:eastAsia="zh-C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highlight w:val="none"/>
          <w:lang w:val="en-US" w:eastAsia="zh-CN"/>
        </w:rPr>
        <w:t>、</w:t>
      </w:r>
      <w:r>
        <w:rPr>
          <w:rFonts w:hint="eastAsia" w:ascii="仿宋" w:hAnsi="仿宋" w:eastAsia="仿宋" w:cs="仿宋"/>
          <w:bCs/>
          <w:sz w:val="32"/>
          <w:szCs w:val="32"/>
          <w:lang w:val="en-US" w:eastAsia="zh-CN"/>
        </w:rPr>
        <w:t>秦州区枣园村陈家庄（组）片区城市更新改造项目</w:t>
      </w:r>
      <w:r>
        <w:rPr>
          <w:rFonts w:hint="eastAsia" w:ascii="Times New Roman" w:hAnsi="Times New Roman" w:eastAsia="仿宋_GB2312" w:cs="Times New Roman"/>
          <w:highlight w:val="none"/>
          <w:lang w:val="en-US" w:eastAsia="zh-CN"/>
        </w:rPr>
        <w:t>由天水市城市更新服务中心为组织实施单位，由本单位牵头实施征迁工作，由市城市更新投资有限公司具体实施项目开展工作。</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3、资金由本单位做预算，财政相关部门对资金的合理性、相符性进行审核，审核通过后由本级财政业务科室下达指标。</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二、项目绩效目标</w:t>
      </w:r>
    </w:p>
    <w:p>
      <w:pPr>
        <w:keepNext w:val="0"/>
        <w:keepLines w:val="0"/>
        <w:pageBreakBefore w:val="0"/>
        <w:widowControl w:val="0"/>
        <w:kinsoku/>
        <w:wordWrap/>
        <w:overflowPunct/>
        <w:topLinePunct w:val="0"/>
        <w:autoSpaceDE/>
        <w:autoSpaceDN/>
        <w:bidi w:val="0"/>
        <w:adjustRightInd/>
        <w:snapToGrid w:val="0"/>
        <w:spacing w:before="0" w:after="0" w:line="576" w:lineRule="exact"/>
        <w:ind w:left="0" w:leftChars="0" w:right="0" w:firstLine="640" w:firstLineChars="200"/>
        <w:jc w:val="both"/>
        <w:textAlignment w:val="auto"/>
        <w:outlineLvl w:val="9"/>
        <w:rPr>
          <w:rFonts w:hint="eastAsia" w:ascii="Times New Roman" w:hAnsi="仿宋_GB2312" w:eastAsia="宋体"/>
          <w:sz w:val="32"/>
          <w:szCs w:val="32"/>
          <w:lang w:val="en-US" w:eastAsia="zh-CN"/>
        </w:rPr>
      </w:pPr>
      <w:r>
        <w:rPr>
          <w:rFonts w:hint="eastAsia" w:ascii="仿宋" w:hAnsi="仿宋" w:eastAsia="仿宋" w:cs="仿宋"/>
          <w:sz w:val="32"/>
          <w:szCs w:val="32"/>
        </w:rPr>
        <w:t>为加强该项目的征拆工作建设，推动各项目顺利开展，按照国家政策及相关文件的精神，我们根据项目的实际情况细化了绩效目标，具体如下：</w:t>
      </w:r>
      <w:r>
        <w:rPr>
          <w:rFonts w:hint="eastAsia" w:ascii="仿宋" w:hAnsi="仿宋" w:eastAsia="仿宋" w:cs="仿宋"/>
          <w:sz w:val="32"/>
          <w:szCs w:val="32"/>
        </w:rPr>
        <w:br w:type="textWrapping"/>
      </w:r>
      <w:r>
        <w:rPr>
          <w:rFonts w:hint="eastAsia" w:ascii="仿宋" w:hAnsi="仿宋" w:eastAsia="仿宋" w:cs="仿宋"/>
          <w:sz w:val="32"/>
          <w:szCs w:val="32"/>
        </w:rPr>
        <w:t>　　1、完成项目拆迁工作</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2、促进城市发展，刺激经济增长</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3、改善困难群众住房条件，缓解城市内部二元矛盾，提升城镇综合承载能</w:t>
      </w:r>
      <w:r>
        <w:rPr>
          <w:rFonts w:ascii="宋体" w:hAnsi="宋体" w:eastAsia="宋体" w:cs="宋体"/>
          <w:sz w:val="24"/>
          <w:szCs w:val="24"/>
        </w:rPr>
        <w:t>力</w:t>
      </w:r>
      <w:r>
        <w:rPr>
          <w:rFonts w:hint="eastAsia" w:ascii="宋体" w:hAnsi="宋体" w:cs="宋体"/>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三、评价基本情况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（一）评价目的。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项目的实施效果：通过绩效评价，可以对征迁项目的完成情况、资金使用情况、社会效益等方面进行全面、客观的评估，从而反映项目的实际效果。</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rPr>
        <w:t>提高财政专项资金的使用效益：通过对征迁项目的绩效评价，可以确保财政专项资金的有效利用，避免资金的浪费和滥用，提高资金的使用效益。</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为政府决策提供参考建议性：绩效评价结果可以为政府决策提供重要依据，帮助政府更好地规划和管理征迁项目，推动城市更新和土地资源的合理利用。</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（二）评价对象与范围。</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highlight w:val="yellow"/>
        </w:rPr>
      </w:pPr>
      <w:r>
        <w:rPr>
          <w:rFonts w:hint="eastAsia" w:ascii="Times New Roman" w:hAnsi="Times New Roman" w:eastAsia="仿宋_GB2312" w:cs="Times New Roman"/>
          <w:lang w:val="en-US" w:eastAsia="zh-CN"/>
        </w:rPr>
        <w:t>本次项目绩效评价主要对象为房屋征收过渡费用，评价范围包含了项目工作实施情况，资金保障流程的合规项、征迁项目管理质量的合规性、项目实施后产生的社会效益、可持续影响以及相关人员及群众的满意度因素。</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（三）评价依据。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rPr>
      </w:pPr>
      <w:r>
        <w:rPr>
          <w:rFonts w:hint="eastAsia" w:ascii="仿宋" w:hAnsi="仿宋" w:eastAsia="仿宋" w:cs="仿宋"/>
          <w:bCs/>
          <w:sz w:val="32"/>
          <w:szCs w:val="32"/>
          <w:lang w:val="en-US" w:eastAsia="zh-CN"/>
        </w:rPr>
        <w:t>秦州区枣园村陈家庄（组）片区城市更新改造项目</w:t>
      </w:r>
      <w:r>
        <w:rPr>
          <w:rFonts w:hint="eastAsia" w:ascii="Times New Roman" w:hAnsi="Times New Roman" w:eastAsia="仿宋_GB2312" w:cs="Times New Roman"/>
          <w:lang w:val="en-US" w:eastAsia="zh-CN"/>
        </w:rPr>
        <w:t>作为城市更新、基础设施建设以及土地资源优化配置的重要环节，对于推动地方经济社会发展既有重要意义，是市委、市政府确定实施的重点项目之一。</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（四）评价原则、评价方法。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遵循一定的评价原则是保证评价工作科学、公正、有效的关键。本报告在征收项目的绩效评价过程中，主要遵循科学性、全面性、有效性以及风险控制等原则，确保评价结果的客观性和实用性。</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2、主要采用了财务核查、实地调研等方法，以掌握项目详细情况，并对采集的数据作详细的分析和统计。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（五）绩效评价指标体系。</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评价指标体系的构建是绩效评价工作的核心。我们遵循科学性、系统性、可操作性和可比性原则，结合项目的实际情况，从多个维度出发，构建了一套全面、客观的绩效评价指标体系。该体系包括预算执行与效率、社会经济效益评估、</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众满意度调查等</w:t>
      </w:r>
      <w:r>
        <w:rPr>
          <w:rFonts w:hint="eastAsia" w:ascii="Times New Roman" w:hAnsi="Times New Roman" w:eastAsia="仿宋_GB2312" w:cs="Times New Roman"/>
          <w:lang w:val="en-US" w:eastAsia="zh-CN"/>
        </w:rPr>
        <w:t>几</w:t>
      </w:r>
      <w:r>
        <w:rPr>
          <w:rFonts w:hint="eastAsia" w:ascii="Times New Roman" w:hAnsi="Times New Roman" w:eastAsia="仿宋_GB2312" w:cs="Times New Roman"/>
        </w:rPr>
        <w:t>个方面，旨在全面反映项目的绩效水平。</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预算执行与效率方面</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我们主要关注项目资金的筹集、分配和使用情况，以及项目实施的进度和效率。通过对比分析预算与实际支出，评估项目在资金利用方面的合理性和有效性；同时，结合项目实施的时间节点和完成情况，评价项目在进度控制和效率提升方面的表现。</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leftChars="0" w:right="125" w:firstLine="639" w:firstLineChars="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是评价征收项目绩效的重要方面。我们通过对项目实施前后社会经济指标的变化进行分析，评估项目对当地经济发展、就业促进、财政收入等方面的贡献；同时，关注项目实施对周边环境和居民生活的影响，确保项目在推动经济发展的同时，也能够实现社会和谐与可持续发展。</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3、群</w:t>
      </w:r>
      <w:r>
        <w:rPr>
          <w:rFonts w:hint="eastAsia" w:ascii="Times New Roman" w:hAnsi="Times New Roman" w:eastAsia="仿宋_GB2312" w:cs="Times New Roman"/>
        </w:rPr>
        <w:t>众满意度调查</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众满意度是衡量征收项目绩效的重要指标之一。我们通过问卷调查、座谈会等方式，收集</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众对项目实施过程、征收补偿、后续安置等方面的意见和建议，了解</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众对项目的满意度和认可度。同时，对收集到的数据进行统计分析，找出存在的问题和不足，为今后的工作改进提供参考依据。</w:t>
      </w:r>
    </w:p>
    <w:p>
      <w:pPr>
        <w:pStyle w:val="2"/>
        <w:keepNext w:val="0"/>
        <w:keepLines w:val="0"/>
        <w:pageBreakBefore w:val="0"/>
        <w:widowControl w:val="0"/>
        <w:numPr>
          <w:ilvl w:val="0"/>
          <w:numId w:val="4"/>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评价人员组成。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评价工作由一支专业、高效的团队共同完成。团队成员来自不同领域，具备丰富的绩效评价经验和专业知识，确保评价工作的科学性、准确性和公正性。团队成员包括绩效评价专家、征收项目专员、财务人员，各成员间紧密配合，形成了有力的工作合力。</w:t>
      </w:r>
    </w:p>
    <w:p>
      <w:pPr>
        <w:pStyle w:val="2"/>
        <w:keepNext w:val="0"/>
        <w:keepLines w:val="0"/>
        <w:pageBreakBefore w:val="0"/>
        <w:widowControl w:val="0"/>
        <w:numPr>
          <w:ilvl w:val="0"/>
          <w:numId w:val="5"/>
        </w:numPr>
        <w:kinsoku/>
        <w:wordWrap/>
        <w:overflowPunct/>
        <w:topLinePunct w:val="0"/>
        <w:autoSpaceDE/>
        <w:autoSpaceDN/>
        <w:bidi w:val="0"/>
        <w:adjustRightInd/>
        <w:spacing w:line="576" w:lineRule="exact"/>
        <w:ind w:right="125" w:rightChars="0"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绩效评价工作过程。</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1、按照相关要求，及时组织相关人员开展项目评价，具体通过查询财务凭证，核对资金支出；查看现场和档案资料，核对完成数量和质量、完成时效性、项目总成本。   </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2、根据项目管理情况，判断对项目管理水平提升的可持续影响，根据问卷调查结果判断群众满意度和社会效益。</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最后，我们根据绩效评价的结果和讨论情况，撰写了详细的绩效评价报告。报告包括评价目的、方法、过程、结果等内容，全面反映了项目的绩效水平和存在的问题。</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四、评价结论及分析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ascii="Times New Roman" w:hAnsi="Times New Roman" w:eastAsia="仿宋_GB2312" w:cs="Times New Roman"/>
        </w:rPr>
      </w:pPr>
      <w:r>
        <w:rPr>
          <w:rFonts w:hint="eastAsia" w:ascii="Times New Roman" w:hAnsi="Times New Roman" w:eastAsia="仿宋_GB2312" w:cs="Times New Roman"/>
        </w:rPr>
        <w:t>（一）综合评价情况及评价结论（附相关评分表）。</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（二）非现场评价情况分析。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我们能够在不干扰项目现场运作的前提下，对项目进行全面、客观的分析和评估。我们主要通过查阅项目文档、数据库查询等方式获取了项目相关的数据资料。在数据收集过程中，我们注重数据的真实性和完整性，对收集到的数据进行了严格的审核和筛选。</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leftChars="200" w:right="125" w:firstLine="320" w:firstLineChars="100"/>
        <w:textAlignment w:val="auto"/>
        <w:rPr>
          <w:rFonts w:hint="eastAsia" w:ascii="Times New Roman" w:hAnsi="Times New Roman" w:eastAsia="仿宋_GB2312" w:cs="Times New Roman"/>
        </w:rPr>
      </w:pP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三）</w:t>
      </w:r>
      <w:r>
        <w:rPr>
          <w:rFonts w:hint="eastAsia" w:ascii="Times New Roman" w:hAnsi="Times New Roman" w:eastAsia="仿宋_GB2312" w:cs="Times New Roman"/>
        </w:rPr>
        <w:t>现场评价情况分析。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过实地走访、观察、访谈等方式，我们对项目的各个环节进行了全面、细致的调研。现场调研过程中，我们重点关注了项目的实施进度、资源配置、管理效率等方面，并收集了大量第一手资料和数据，为后续的评价分析提供了有力支撑。</w:t>
      </w:r>
    </w:p>
    <w:p>
      <w:pPr>
        <w:pStyle w:val="2"/>
        <w:keepNext w:val="0"/>
        <w:keepLines w:val="0"/>
        <w:pageBreakBefore w:val="0"/>
        <w:widowControl w:val="0"/>
        <w:numPr>
          <w:ilvl w:val="0"/>
          <w:numId w:val="1"/>
        </w:numPr>
        <w:kinsoku/>
        <w:wordWrap/>
        <w:overflowPunct/>
        <w:topLinePunct w:val="0"/>
        <w:autoSpaceDE/>
        <w:autoSpaceDN/>
        <w:bidi w:val="0"/>
        <w:adjustRightInd/>
        <w:spacing w:line="576" w:lineRule="exact"/>
        <w:ind w:left="111" w:leftChars="0"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分项目、单位或市县评价得分及结论。</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各分项目单位在项目执行过程中，积极落实绩效目标，取得了显著成效</w:t>
      </w: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得分较高，</w:t>
      </w:r>
      <w:r>
        <w:rPr>
          <w:rFonts w:hint="eastAsia" w:ascii="Times New Roman" w:hAnsi="Times New Roman" w:eastAsia="仿宋_GB2312" w:cs="Times New Roman"/>
        </w:rPr>
        <w:t>多数单位在项目建设进度、质量控制、成本控制等方面均达到了预期目标。为项目的整体推进作出了积极贡献。</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五、绩效评价指标分析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（一）项目决策情况。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依据天水市人民政府关于《城市更新改造（棚户区改造）》项目范围内房屋征收补偿安置方案中合法房屋、与房屋主体建筑有关的附属物或构筑物、未超过批准期限的临时建筑、依法认定为合法的建筑。</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（二）项目过程情况。</w:t>
      </w:r>
    </w:p>
    <w:p>
      <w:pPr>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该项目绩效目标明确，分配合理，资金到位。项目组织实施制度建全，</w:t>
      </w:r>
      <w:r>
        <w:rPr>
          <w:rFonts w:hint="eastAsia" w:ascii="Times New Roman" w:hAnsi="Times New Roman" w:eastAsia="仿宋_GB2312" w:cs="Times New Roman"/>
          <w:kern w:val="2"/>
          <w:sz w:val="32"/>
          <w:szCs w:val="32"/>
          <w:lang w:val="en-US" w:eastAsia="zh-CN" w:bidi="ar-SA"/>
        </w:rPr>
        <w:t>但</w:t>
      </w:r>
      <w:r>
        <w:rPr>
          <w:rFonts w:hint="default" w:ascii="Times New Roman" w:hAnsi="Times New Roman" w:eastAsia="仿宋_GB2312" w:cs="Times New Roman"/>
          <w:kern w:val="2"/>
          <w:sz w:val="32"/>
          <w:szCs w:val="32"/>
          <w:lang w:val="en-US" w:eastAsia="zh-CN" w:bidi="ar-SA"/>
        </w:rPr>
        <w:t>执行</w:t>
      </w:r>
      <w:r>
        <w:rPr>
          <w:rFonts w:hint="eastAsia" w:ascii="Times New Roman" w:hAnsi="Times New Roman" w:eastAsia="仿宋_GB2312" w:cs="Times New Roman"/>
          <w:kern w:val="2"/>
          <w:sz w:val="32"/>
          <w:szCs w:val="32"/>
          <w:lang w:val="en-US" w:eastAsia="zh-CN" w:bidi="ar-SA"/>
        </w:rPr>
        <w:t>率</w:t>
      </w:r>
      <w:r>
        <w:rPr>
          <w:rFonts w:hint="default" w:ascii="Times New Roman" w:hAnsi="Times New Roman" w:eastAsia="仿宋_GB2312" w:cs="Times New Roman"/>
          <w:kern w:val="2"/>
          <w:sz w:val="32"/>
          <w:szCs w:val="32"/>
          <w:lang w:val="en-US" w:eastAsia="zh-CN" w:bidi="ar-SA"/>
        </w:rPr>
        <w:t>有</w:t>
      </w:r>
      <w:r>
        <w:rPr>
          <w:rFonts w:hint="eastAsia" w:ascii="Times New Roman" w:hAnsi="Times New Roman" w:eastAsia="仿宋_GB2312" w:cs="Times New Roman"/>
          <w:kern w:val="2"/>
          <w:sz w:val="32"/>
          <w:szCs w:val="32"/>
          <w:lang w:val="en-US" w:eastAsia="zh-CN" w:bidi="ar-SA"/>
        </w:rPr>
        <w:t>待提高</w:t>
      </w:r>
      <w:r>
        <w:rPr>
          <w:rFonts w:hint="default" w:ascii="Times New Roman" w:hAnsi="Times New Roman" w:eastAsia="仿宋_GB2312" w:cs="Times New Roman"/>
          <w:kern w:val="2"/>
          <w:sz w:val="32"/>
          <w:szCs w:val="32"/>
          <w:lang w:val="en-US" w:eastAsia="zh-CN" w:bidi="ar-SA"/>
        </w:rPr>
        <w:t>。</w:t>
      </w:r>
    </w:p>
    <w:p>
      <w:pPr>
        <w:pStyle w:val="2"/>
        <w:keepNext w:val="0"/>
        <w:keepLines w:val="0"/>
        <w:pageBreakBefore w:val="0"/>
        <w:widowControl w:val="0"/>
        <w:numPr>
          <w:ilvl w:val="0"/>
          <w:numId w:val="6"/>
        </w:numPr>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项目产出情况。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项目产出情况，</w:t>
      </w:r>
      <w:r>
        <w:rPr>
          <w:rFonts w:hint="default" w:ascii="Times New Roman" w:hAnsi="Times New Roman" w:eastAsia="仿宋_GB2312" w:cs="Times New Roman"/>
          <w:sz w:val="32"/>
          <w:szCs w:val="32"/>
          <w:lang w:val="en-US" w:eastAsia="zh-CN"/>
        </w:rPr>
        <w:t>房屋征收面积约</w:t>
      </w:r>
      <w:r>
        <w:rPr>
          <w:rFonts w:hint="eastAsia" w:ascii="Times New Roman" w:hAnsi="Times New Roman" w:eastAsia="仿宋_GB2312" w:cs="Times New Roman"/>
          <w:sz w:val="32"/>
          <w:szCs w:val="32"/>
          <w:lang w:val="en-US" w:eastAsia="zh-CN"/>
        </w:rPr>
        <w:t>5.44</w:t>
      </w:r>
      <w:r>
        <w:rPr>
          <w:rFonts w:hint="default" w:ascii="Times New Roman" w:hAnsi="Times New Roman" w:eastAsia="仿宋_GB2312" w:cs="Times New Roman"/>
          <w:sz w:val="32"/>
          <w:szCs w:val="32"/>
          <w:lang w:val="en-US" w:eastAsia="zh-CN"/>
        </w:rPr>
        <w:t>万平方米</w:t>
      </w:r>
      <w:r>
        <w:rPr>
          <w:rFonts w:hint="eastAsia" w:ascii="Times New Roman" w:hAnsi="Times New Roman" w:eastAsia="仿宋_GB2312" w:cs="Times New Roman"/>
          <w:kern w:val="2"/>
          <w:sz w:val="32"/>
          <w:szCs w:val="32"/>
          <w:lang w:val="en-US" w:eastAsia="zh-CN" w:bidi="ar-SA"/>
        </w:rPr>
        <w:t>，涉及征收户数234户。</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（四）项目效益情况。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1、社会效益：推动征收项目顺利实施，促进相关项目建设进度，提升城乡建设发展。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2、群众满意度：受益群众满意度90%，达到预期目标。</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黑体" w:eastAsia="黑体"/>
        </w:rPr>
      </w:pPr>
      <w:r>
        <w:rPr>
          <w:rFonts w:hint="eastAsia" w:ascii="黑体" w:eastAsia="黑体"/>
        </w:rPr>
        <w:t>六、项目主要经验及做法</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仿宋" w:hAnsi="仿宋" w:eastAsia="仿宋" w:cs="仿宋"/>
          <w:lang w:eastAsia="zh-CN"/>
        </w:rPr>
      </w:pPr>
      <w:r>
        <w:rPr>
          <w:rFonts w:hint="eastAsia" w:ascii="仿宋" w:hAnsi="仿宋" w:eastAsia="仿宋" w:cs="仿宋"/>
          <w:lang w:eastAsia="zh-CN"/>
        </w:rPr>
        <w:t>严格按照相关文件规定积极开展项目绩效评价，该项目完成率较好，资金未超预算，资金支付及时，推动项目顺利实施，促进相关项目建设进度，提升城乡建设发展。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黑体" w:eastAsia="黑体"/>
        </w:rPr>
      </w:pPr>
      <w:r>
        <w:rPr>
          <w:rFonts w:hint="eastAsia" w:ascii="黑体" w:eastAsia="黑体"/>
        </w:rPr>
        <w:t>七、存在的问题及原因分析</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hint="eastAsia" w:ascii="Times New Roman" w:hAnsi="Times New Roman" w:eastAsia="仿宋_GB2312" w:cs="Times New Roman"/>
        </w:rPr>
      </w:pPr>
      <w:r>
        <w:rPr>
          <w:rFonts w:hint="eastAsia" w:ascii="仿宋" w:hAnsi="仿宋" w:eastAsia="仿宋" w:cs="仿宋"/>
          <w:lang w:eastAsia="zh-CN"/>
        </w:rPr>
        <w:t>（一）项目管理方面：</w:t>
      </w:r>
      <w:r>
        <w:rPr>
          <w:rFonts w:hint="eastAsia" w:ascii="Times New Roman" w:hAnsi="Times New Roman" w:eastAsia="仿宋_GB2312" w:cs="Times New Roman"/>
        </w:rPr>
        <w:t>项目资料不完善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 w:hAnsi="仿宋" w:eastAsia="仿宋" w:cs="仿宋"/>
          <w:lang w:eastAsia="zh-CN"/>
        </w:rPr>
      </w:pPr>
      <w:r>
        <w:rPr>
          <w:rFonts w:hint="eastAsia" w:ascii="Times New Roman" w:hAnsi="Times New Roman" w:eastAsia="仿宋_GB2312" w:cs="Times New Roman"/>
        </w:rPr>
        <w:t>在收集资料过程中发现，多数项目资料不够完整，原因</w:t>
      </w:r>
      <w:r>
        <w:rPr>
          <w:rFonts w:hint="eastAsia" w:ascii="Times New Roman" w:hAnsi="Times New Roman" w:eastAsia="仿宋_GB2312" w:cs="Times New Roman"/>
          <w:lang w:val="en-US" w:eastAsia="zh-CN"/>
        </w:rPr>
        <w:t>是</w:t>
      </w:r>
      <w:r>
        <w:rPr>
          <w:rFonts w:hint="eastAsia" w:ascii="Times New Roman" w:hAnsi="Times New Roman" w:eastAsia="仿宋_GB2312" w:cs="Times New Roman"/>
        </w:rPr>
        <w:t>该单位成立时间不长，拆迁项目多是由项目建设单位移交后并未给提供给拆迁办，因此造成项目资料的欠缺。</w:t>
      </w:r>
    </w:p>
    <w:p>
      <w:pPr>
        <w:pStyle w:val="2"/>
        <w:keepNext w:val="0"/>
        <w:keepLines w:val="0"/>
        <w:pageBreakBefore w:val="0"/>
        <w:widowControl w:val="0"/>
        <w:numPr>
          <w:ilvl w:val="0"/>
          <w:numId w:val="7"/>
        </w:numPr>
        <w:kinsoku/>
        <w:wordWrap/>
        <w:overflowPunct/>
        <w:topLinePunct w:val="0"/>
        <w:autoSpaceDE/>
        <w:autoSpaceDN/>
        <w:bidi w:val="0"/>
        <w:adjustRightInd/>
        <w:spacing w:line="576" w:lineRule="exact"/>
        <w:ind w:left="1070" w:leftChars="0" w:hanging="230" w:firstLineChars="0"/>
        <w:textAlignment w:val="auto"/>
        <w:rPr>
          <w:rFonts w:hint="eastAsia" w:ascii="Times New Roman" w:hAnsi="Times New Roman" w:eastAsia="仿宋_GB2312" w:cs="Times New Roman"/>
          <w:lang w:eastAsia="zh-CN"/>
        </w:rPr>
      </w:pPr>
      <w:r>
        <w:rPr>
          <w:rFonts w:hint="eastAsia" w:ascii="仿宋" w:hAnsi="仿宋" w:eastAsia="仿宋" w:cs="仿宋"/>
          <w:lang w:eastAsia="zh-CN"/>
        </w:rPr>
        <w:t>资金使用方面问题：</w:t>
      </w:r>
      <w:r>
        <w:rPr>
          <w:rFonts w:hint="eastAsia" w:ascii="Times New Roman" w:hAnsi="Times New Roman" w:eastAsia="仿宋_GB2312" w:cs="Times New Roman"/>
          <w:lang w:eastAsia="zh-CN"/>
        </w:rPr>
        <w:t>预算执行率太差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 w:hAnsi="仿宋" w:eastAsia="仿宋" w:cs="仿宋"/>
          <w:lang w:val="en-US" w:eastAsia="zh-CN"/>
        </w:rPr>
      </w:pPr>
      <w:r>
        <w:rPr>
          <w:rFonts w:hint="eastAsia" w:ascii="Times New Roman" w:hAnsi="Times New Roman" w:eastAsia="仿宋_GB2312" w:cs="Times New Roman"/>
          <w:lang w:eastAsia="zh-CN"/>
        </w:rPr>
        <w:t>因部门整体支出的预算资金安排和使用上仍有不可预见性及财政资金紧张，导致预算执行率低。</w:t>
      </w:r>
    </w:p>
    <w:p>
      <w:pPr>
        <w:pStyle w:val="2"/>
        <w:keepNext w:val="0"/>
        <w:keepLines w:val="0"/>
        <w:pageBreakBefore w:val="0"/>
        <w:widowControl w:val="0"/>
        <w:kinsoku/>
        <w:wordWrap/>
        <w:overflowPunct/>
        <w:topLinePunct w:val="0"/>
        <w:autoSpaceDE/>
        <w:autoSpaceDN/>
        <w:bidi w:val="0"/>
        <w:adjustRightInd/>
        <w:spacing w:line="576" w:lineRule="exact"/>
        <w:ind w:left="753"/>
        <w:textAlignment w:val="auto"/>
        <w:rPr>
          <w:rFonts w:ascii="黑体" w:eastAsia="黑体"/>
        </w:rPr>
      </w:pPr>
      <w:r>
        <w:rPr>
          <w:rFonts w:hint="eastAsia" w:ascii="黑体" w:eastAsia="黑体"/>
        </w:rPr>
        <w:t>八、有关建议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39"/>
        <w:textAlignment w:val="auto"/>
        <w:rPr>
          <w:rFonts w:hint="eastAsia" w:ascii="仿宋_GB2312" w:hAnsi="Times New Roman" w:eastAsia="仿宋_GB2312" w:cs="Times New Roman"/>
          <w:highlight w:val="yellow"/>
          <w:lang w:eastAsia="zh-CN"/>
        </w:rPr>
      </w:pPr>
      <w:r>
        <w:rPr>
          <w:rFonts w:hint="eastAsia" w:ascii="仿宋_GB2312" w:hAnsi="Times New Roman" w:eastAsia="仿宋_GB2312" w:cs="Times New Roman"/>
          <w:lang w:eastAsia="zh-CN"/>
        </w:rPr>
        <w:t>无。</w:t>
      </w:r>
    </w:p>
    <w:p>
      <w:pPr>
        <w:pStyle w:val="2"/>
        <w:keepNext w:val="0"/>
        <w:keepLines w:val="0"/>
        <w:pageBreakBefore w:val="0"/>
        <w:widowControl w:val="0"/>
        <w:numPr>
          <w:ilvl w:val="0"/>
          <w:numId w:val="8"/>
        </w:numPr>
        <w:kinsoku/>
        <w:wordWrap/>
        <w:overflowPunct/>
        <w:topLinePunct w:val="0"/>
        <w:autoSpaceDE/>
        <w:autoSpaceDN/>
        <w:bidi w:val="0"/>
        <w:adjustRightInd/>
        <w:spacing w:line="576" w:lineRule="exact"/>
        <w:ind w:left="111" w:right="125" w:firstLine="639"/>
        <w:textAlignment w:val="auto"/>
        <w:rPr>
          <w:rFonts w:hint="eastAsia" w:ascii="黑体" w:hAnsi="黑体" w:eastAsia="黑体" w:cs="Times New Roman"/>
        </w:rPr>
      </w:pPr>
      <w:r>
        <w:rPr>
          <w:rFonts w:hint="eastAsia" w:ascii="黑体" w:hAnsi="黑体" w:eastAsia="黑体" w:cs="Times New Roman"/>
        </w:rPr>
        <w:t>需要说明的问题</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仿宋" w:hAnsi="仿宋" w:eastAsia="仿宋" w:cs="仿宋"/>
          <w:b w:val="0"/>
          <w:bCs w:val="0"/>
          <w:lang w:eastAsia="zh-CN"/>
        </w:rPr>
        <w:t>无其他需要说明的问题。</w:t>
      </w:r>
    </w:p>
    <w:sectPr>
      <w:pgSz w:w="11906" w:h="16838"/>
      <w:pgMar w:top="2098" w:right="1531" w:bottom="1984"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6E200"/>
    <w:multiLevelType w:val="singleLevel"/>
    <w:tmpl w:val="8F16E200"/>
    <w:lvl w:ilvl="0" w:tentative="0">
      <w:start w:val="1"/>
      <w:numFmt w:val="decimal"/>
      <w:suff w:val="nothing"/>
      <w:lvlText w:val="%1、"/>
      <w:lvlJc w:val="left"/>
    </w:lvl>
  </w:abstractNum>
  <w:abstractNum w:abstractNumId="1">
    <w:nsid w:val="90067502"/>
    <w:multiLevelType w:val="singleLevel"/>
    <w:tmpl w:val="90067502"/>
    <w:lvl w:ilvl="0" w:tentative="0">
      <w:start w:val="1"/>
      <w:numFmt w:val="decimal"/>
      <w:suff w:val="nothing"/>
      <w:lvlText w:val="%1、"/>
      <w:lvlJc w:val="left"/>
      <w:pPr>
        <w:ind w:left="-550"/>
      </w:pPr>
    </w:lvl>
  </w:abstractNum>
  <w:abstractNum w:abstractNumId="2">
    <w:nsid w:val="91775C34"/>
    <w:multiLevelType w:val="singleLevel"/>
    <w:tmpl w:val="91775C34"/>
    <w:lvl w:ilvl="0" w:tentative="0">
      <w:start w:val="6"/>
      <w:numFmt w:val="chineseCounting"/>
      <w:suff w:val="nothing"/>
      <w:lvlText w:val="（%1）"/>
      <w:lvlJc w:val="left"/>
      <w:rPr>
        <w:rFonts w:hint="eastAsia"/>
      </w:rPr>
    </w:lvl>
  </w:abstractNum>
  <w:abstractNum w:abstractNumId="3">
    <w:nsid w:val="9CCF880E"/>
    <w:multiLevelType w:val="singleLevel"/>
    <w:tmpl w:val="9CCF880E"/>
    <w:lvl w:ilvl="0" w:tentative="0">
      <w:start w:val="2"/>
      <w:numFmt w:val="chineseCounting"/>
      <w:suff w:val="nothing"/>
      <w:lvlText w:val="（%1）"/>
      <w:lvlJc w:val="left"/>
      <w:pPr>
        <w:ind w:left="817"/>
      </w:pPr>
      <w:rPr>
        <w:rFonts w:hint="eastAsia"/>
      </w:rPr>
    </w:lvl>
  </w:abstractNum>
  <w:abstractNum w:abstractNumId="4">
    <w:nsid w:val="C7A842AE"/>
    <w:multiLevelType w:val="singleLevel"/>
    <w:tmpl w:val="C7A842AE"/>
    <w:lvl w:ilvl="0" w:tentative="0">
      <w:start w:val="3"/>
      <w:numFmt w:val="chineseCounting"/>
      <w:suff w:val="nothing"/>
      <w:lvlText w:val="（%1）"/>
      <w:lvlJc w:val="left"/>
      <w:rPr>
        <w:rFonts w:hint="eastAsia"/>
      </w:rPr>
    </w:lvl>
  </w:abstractNum>
  <w:abstractNum w:abstractNumId="5">
    <w:nsid w:val="F12A797F"/>
    <w:multiLevelType w:val="singleLevel"/>
    <w:tmpl w:val="F12A797F"/>
    <w:lvl w:ilvl="0" w:tentative="0">
      <w:start w:val="9"/>
      <w:numFmt w:val="chineseCounting"/>
      <w:suff w:val="nothing"/>
      <w:lvlText w:val="%1、"/>
      <w:lvlJc w:val="left"/>
      <w:rPr>
        <w:rFonts w:hint="eastAsia"/>
      </w:rPr>
    </w:lvl>
  </w:abstractNum>
  <w:abstractNum w:abstractNumId="6">
    <w:nsid w:val="1675FC94"/>
    <w:multiLevelType w:val="singleLevel"/>
    <w:tmpl w:val="1675FC94"/>
    <w:lvl w:ilvl="0" w:tentative="0">
      <w:start w:val="3"/>
      <w:numFmt w:val="chineseCounting"/>
      <w:suff w:val="nothing"/>
      <w:lvlText w:val="（%1）"/>
      <w:lvlJc w:val="left"/>
      <w:rPr>
        <w:rFonts w:hint="eastAsia"/>
      </w:rPr>
    </w:lvl>
  </w:abstractNum>
  <w:abstractNum w:abstractNumId="7">
    <w:nsid w:val="5546EC65"/>
    <w:multiLevelType w:val="singleLevel"/>
    <w:tmpl w:val="5546EC65"/>
    <w:lvl w:ilvl="0" w:tentative="0">
      <w:start w:val="7"/>
      <w:numFmt w:val="chineseCounting"/>
      <w:suff w:val="space"/>
      <w:lvlText w:val="（%1)"/>
      <w:lvlJc w:val="left"/>
      <w:rPr>
        <w:rFonts w:hint="eastAsia"/>
      </w:rPr>
    </w:lvl>
  </w:abstractNum>
  <w:num w:numId="1">
    <w:abstractNumId w:val="6"/>
  </w:num>
  <w:num w:numId="2">
    <w:abstractNumId w:val="1"/>
  </w:num>
  <w:num w:numId="3">
    <w:abstractNumId w:val="0"/>
  </w:num>
  <w:num w:numId="4">
    <w:abstractNumId w:val="2"/>
  </w:num>
  <w:num w:numId="5">
    <w:abstractNumId w:val="7"/>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YzYzZWE2MWEyNWI4YzgxZmYwZGMxZmQ3ZmRhMjcifQ=="/>
  </w:docVars>
  <w:rsids>
    <w:rsidRoot w:val="00000000"/>
    <w:rsid w:val="00C93708"/>
    <w:rsid w:val="015710C2"/>
    <w:rsid w:val="01863EED"/>
    <w:rsid w:val="04447714"/>
    <w:rsid w:val="053F1D19"/>
    <w:rsid w:val="070C06B6"/>
    <w:rsid w:val="0A1F0689"/>
    <w:rsid w:val="10272721"/>
    <w:rsid w:val="18107DFC"/>
    <w:rsid w:val="29B91531"/>
    <w:rsid w:val="2DE27F68"/>
    <w:rsid w:val="2E513149"/>
    <w:rsid w:val="3C4340D1"/>
    <w:rsid w:val="3C9A5CBB"/>
    <w:rsid w:val="3D1D2B74"/>
    <w:rsid w:val="3FFA0F4B"/>
    <w:rsid w:val="41B660C0"/>
    <w:rsid w:val="428079DA"/>
    <w:rsid w:val="443236F3"/>
    <w:rsid w:val="452836B1"/>
    <w:rsid w:val="47016B56"/>
    <w:rsid w:val="50C020FD"/>
    <w:rsid w:val="515C2A2E"/>
    <w:rsid w:val="54967236"/>
    <w:rsid w:val="5CF06938"/>
    <w:rsid w:val="63B15515"/>
    <w:rsid w:val="65E478CD"/>
    <w:rsid w:val="6EE43976"/>
    <w:rsid w:val="76874817"/>
    <w:rsid w:val="794B2E20"/>
    <w:rsid w:val="7C030A65"/>
    <w:rsid w:val="7F5034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textRotate="1"/>
    <customShpInfo spid="_x0000_s205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3203</Words>
  <Characters>3252</Characters>
  <Lines>0</Lines>
  <Paragraphs>0</Paragraphs>
  <TotalTime>3</TotalTime>
  <ScaleCrop>false</ScaleCrop>
  <LinksUpToDate>false</LinksUpToDate>
  <CharactersWithSpaces>3415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2024-05-20T08:22:00Z</dcterms:created>
  <dc:creator>Administrator</dc:creator>
  <cp:lastModifiedBy>Administrator</cp:lastModifiedBy>
  <cp:lastPrinted>2024-05-24T08:06:34Z</cp:lastPrinted>
  <dcterms:modified xsi:type="dcterms:W3CDTF">2024-05-24T08:08:15Z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8AF353EE26724626AEEF0CECF8FAFB44_11</vt:lpwstr>
  </property>
</Properties>
</file>