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80" w:lineRule="exact"/>
        <w:ind w:left="113"/>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1</w:t>
      </w: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hint="eastAsia" w:ascii="宋体" w:hAnsi="宋体" w:eastAsia="宋体" w:cs="Times New Roman"/>
          <w:b/>
          <w:sz w:val="44"/>
          <w:szCs w:val="44"/>
        </w:rPr>
      </w:pPr>
    </w:p>
    <w:p>
      <w:pPr>
        <w:pStyle w:val="2"/>
        <w:spacing w:line="680" w:lineRule="exact"/>
        <w:jc w:val="center"/>
        <w:rPr>
          <w:rFonts w:hint="eastAsia" w:ascii="宋体" w:hAnsi="宋体"/>
          <w:b/>
          <w:bCs/>
          <w:sz w:val="44"/>
          <w:szCs w:val="44"/>
          <w:lang w:eastAsia="zh-CN"/>
        </w:rPr>
      </w:pPr>
      <w:r>
        <w:rPr>
          <w:rFonts w:hint="eastAsia" w:ascii="宋体" w:hAnsi="宋体"/>
          <w:b/>
          <w:bCs/>
          <w:sz w:val="44"/>
          <w:szCs w:val="44"/>
          <w:lang w:eastAsia="zh-CN"/>
        </w:rPr>
        <w:t>天水市城市更新服务中心项目</w:t>
      </w:r>
    </w:p>
    <w:p>
      <w:pPr>
        <w:pStyle w:val="2"/>
        <w:spacing w:line="680" w:lineRule="exact"/>
        <w:jc w:val="center"/>
        <w:rPr>
          <w:sz w:val="56"/>
        </w:rPr>
      </w:pPr>
      <w:r>
        <w:rPr>
          <w:rFonts w:hint="eastAsia" w:ascii="宋体" w:hAnsi="宋体"/>
          <w:b/>
          <w:bCs/>
          <w:sz w:val="44"/>
          <w:szCs w:val="44"/>
          <w:lang w:eastAsia="zh-CN"/>
        </w:rPr>
        <w:t>群众代表误工费</w:t>
      </w:r>
      <w:r>
        <w:rPr>
          <w:rFonts w:ascii="宋体" w:hAnsi="宋体" w:eastAsia="宋体"/>
          <w:b/>
          <w:bCs/>
          <w:sz w:val="44"/>
          <w:szCs w:val="44"/>
        </w:rPr>
        <w:t>支出绩效评价报告</w:t>
      </w:r>
    </w:p>
    <w:p>
      <w:pPr>
        <w:spacing w:line="578" w:lineRule="exact"/>
        <w:ind w:left="1600" w:hanging="1600" w:hangingChars="500"/>
        <w:rPr>
          <w:rFonts w:ascii="仿宋_GB2312" w:hAnsi="仿宋" w:eastAsia="仿宋_GB2312" w:cs="仿宋"/>
          <w:sz w:val="32"/>
          <w:szCs w:val="32"/>
        </w:rPr>
      </w:pPr>
      <w:r>
        <w:rPr>
          <w:rFonts w:hint="eastAsia" w:ascii="仿宋_GB2312" w:hAnsi="仿宋" w:eastAsia="仿宋_GB2312" w:cs="仿宋"/>
          <w:sz w:val="32"/>
          <w:szCs w:val="32"/>
        </w:rPr>
        <w:t xml:space="preserve">    </w:t>
      </w:r>
    </w:p>
    <w:p>
      <w:pPr>
        <w:spacing w:line="578" w:lineRule="exact"/>
        <w:ind w:left="1600" w:hanging="1600" w:hangingChars="500"/>
        <w:rPr>
          <w:rFonts w:ascii="仿宋_GB2312" w:hAnsi="仿宋" w:eastAsia="仿宋_GB2312" w:cs="仿宋"/>
          <w:sz w:val="32"/>
          <w:szCs w:val="32"/>
        </w:rPr>
      </w:pPr>
    </w:p>
    <w:p>
      <w:pPr>
        <w:spacing w:line="578" w:lineRule="exact"/>
        <w:ind w:left="1600" w:hanging="1600" w:hangingChars="500"/>
        <w:rPr>
          <w:rFonts w:ascii="仿宋_GB2312" w:hAnsi="仿宋" w:eastAsia="仿宋_GB2312" w:cs="仿宋"/>
          <w:sz w:val="32"/>
          <w:szCs w:val="32"/>
        </w:rPr>
      </w:pPr>
    </w:p>
    <w:p>
      <w:pPr>
        <w:spacing w:line="578" w:lineRule="exact"/>
        <w:ind w:left="1600" w:hanging="1600" w:hangingChars="500"/>
        <w:jc w:val="both"/>
        <w:rPr>
          <w:rFonts w:hint="eastAsia" w:ascii="仿宋_GB2312" w:hAnsi="仿宋" w:eastAsia="仿宋_GB2312" w:cs="仿宋"/>
          <w:sz w:val="28"/>
          <w:szCs w:val="28"/>
          <w:u w:val="single"/>
          <w:lang w:val="en-US"/>
        </w:rPr>
      </w:pPr>
      <w:r>
        <w:rPr>
          <w:rFonts w:hint="eastAsia" w:ascii="仿宋_GB2312" w:hAnsi="仿宋" w:eastAsia="仿宋_GB2312" w:cs="仿宋"/>
          <w:sz w:val="32"/>
          <w:szCs w:val="32"/>
        </w:rPr>
        <w:t xml:space="preserve">          项目名称：</w:t>
      </w:r>
      <w:r>
        <w:rPr>
          <w:rFonts w:hint="eastAsia" w:ascii="仿宋_GB2312" w:hAnsi="仿宋" w:eastAsia="仿宋_GB2312" w:cs="仿宋"/>
          <w:sz w:val="28"/>
          <w:szCs w:val="28"/>
          <w:u w:val="single"/>
        </w:rPr>
        <w:t>天水市城市更新服务中心项目群众代表误工费</w:t>
      </w:r>
    </w:p>
    <w:p>
      <w:pPr>
        <w:spacing w:line="578" w:lineRule="exact"/>
        <w:ind w:left="1600" w:hanging="1600" w:hangingChars="500"/>
        <w:rPr>
          <w:rFonts w:ascii="仿宋_GB2312" w:hAnsi="仿宋" w:eastAsia="仿宋_GB2312" w:cs="仿宋"/>
          <w:sz w:val="32"/>
          <w:szCs w:val="32"/>
          <w:u w:val="single"/>
        </w:rPr>
      </w:pPr>
      <w:r>
        <w:rPr>
          <w:rFonts w:hint="eastAsia" w:ascii="仿宋_GB2312" w:hAnsi="仿宋" w:eastAsia="仿宋_GB2312" w:cs="仿宋"/>
          <w:sz w:val="32"/>
          <w:szCs w:val="32"/>
        </w:rPr>
        <w:t xml:space="preserve">          项目主管部门：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eastAsia="zh-CN"/>
        </w:rPr>
        <w:t>天水市人民政府</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评价实施部门：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eastAsia="zh-CN"/>
        </w:rPr>
        <w:t>天水市城市更新服务中心</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 xml:space="preserve">      </w:t>
      </w:r>
    </w:p>
    <w:p>
      <w:pPr>
        <w:spacing w:line="578" w:lineRule="exact"/>
        <w:jc w:val="left"/>
        <w:rPr>
          <w:rFonts w:ascii="仿宋_GB2312" w:hAnsi="仿宋" w:eastAsia="仿宋_GB2312" w:cs="仿宋"/>
          <w:sz w:val="32"/>
          <w:szCs w:val="32"/>
        </w:rPr>
      </w:pPr>
      <w:r>
        <w:rPr>
          <w:rFonts w:hint="eastAsia" w:ascii="仿宋_GB2312" w:hAnsi="仿宋" w:eastAsia="仿宋_GB2312" w:cs="仿宋"/>
          <w:sz w:val="32"/>
          <w:szCs w:val="32"/>
        </w:rPr>
        <w:t xml:space="preserve">          评价机构名称：</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eastAsia="zh-CN"/>
        </w:rPr>
        <w:t>天水市城市更新服务中心</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rPr>
        <w:t xml:space="preserve">        </w:t>
      </w:r>
    </w:p>
    <w:p>
      <w:pPr>
        <w:spacing w:line="578" w:lineRule="exact"/>
        <w:rPr>
          <w:rFonts w:ascii="仿宋_GB2312" w:hAnsi="仿宋" w:eastAsia="仿宋_GB2312" w:cs="仿宋"/>
          <w:sz w:val="32"/>
          <w:szCs w:val="32"/>
        </w:rPr>
      </w:pPr>
      <w:r>
        <w:rPr>
          <w:rFonts w:hint="eastAsia" w:ascii="仿宋_GB2312" w:hAnsi="仿宋" w:eastAsia="仿宋_GB2312" w:cs="仿宋"/>
          <w:sz w:val="32"/>
          <w:szCs w:val="32"/>
        </w:rPr>
        <w:t xml:space="preserve">        </w:t>
      </w:r>
    </w:p>
    <w:p>
      <w:pPr>
        <w:spacing w:line="578" w:lineRule="exact"/>
        <w:rPr>
          <w:rFonts w:ascii="仿宋_GB2312" w:hAnsi="仿宋" w:eastAsia="仿宋_GB2312" w:cs="仿宋"/>
          <w:sz w:val="32"/>
          <w:szCs w:val="32"/>
        </w:rPr>
      </w:pPr>
    </w:p>
    <w:p>
      <w:pPr>
        <w:spacing w:line="578" w:lineRule="exact"/>
        <w:rPr>
          <w:rFonts w:ascii="仿宋_GB2312" w:hAnsi="仿宋" w:eastAsia="仿宋_GB2312" w:cs="仿宋"/>
          <w:sz w:val="32"/>
          <w:szCs w:val="32"/>
        </w:rPr>
      </w:pPr>
    </w:p>
    <w:p>
      <w:pPr>
        <w:spacing w:line="578" w:lineRule="exact"/>
        <w:rPr>
          <w:sz w:val="73"/>
        </w:rPr>
      </w:pPr>
    </w:p>
    <w:p>
      <w:pPr>
        <w:spacing w:line="578" w:lineRule="exact"/>
        <w:rPr>
          <w:rFonts w:ascii="仿宋_GB2312" w:hAnsi="仿宋" w:eastAsia="仿宋_GB2312" w:cs="仿宋"/>
          <w:sz w:val="32"/>
          <w:szCs w:val="32"/>
        </w:rPr>
      </w:pPr>
      <w:r>
        <w:rPr>
          <w:rFonts w:hint="eastAsia" w:ascii="仿宋_GB2312" w:hAnsi="仿宋" w:eastAsia="仿宋_GB2312" w:cs="仿宋"/>
          <w:sz w:val="32"/>
          <w:szCs w:val="32"/>
        </w:rPr>
        <w:t xml:space="preserve">                     202</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月</w:t>
      </w:r>
    </w:p>
    <w:p>
      <w:pPr>
        <w:spacing w:line="680" w:lineRule="exact"/>
        <w:jc w:val="center"/>
        <w:rPr>
          <w:rFonts w:ascii="黑体" w:hAnsi="黑体" w:eastAsia="黑体"/>
        </w:rPr>
        <w:sectPr>
          <w:headerReference r:id="rId3" w:type="default"/>
          <w:footerReference r:id="rId4" w:type="default"/>
          <w:pgSz w:w="11910" w:h="16840"/>
          <w:pgMar w:top="1600" w:right="1360" w:bottom="1320" w:left="1360" w:header="0" w:footer="1134" w:gutter="0"/>
          <w:pgNumType w:fmt="decimal" w:start="1"/>
          <w:cols w:space="720" w:num="1"/>
        </w:sectPr>
      </w:pPr>
    </w:p>
    <w:p>
      <w:pPr>
        <w:spacing w:line="680" w:lineRule="exact"/>
        <w:ind w:left="5" w:right="4"/>
        <w:jc w:val="center"/>
        <w:rPr>
          <w:rFonts w:ascii="黑体" w:eastAsia="黑体"/>
          <w:sz w:val="36"/>
          <w:szCs w:val="36"/>
        </w:rPr>
      </w:pPr>
    </w:p>
    <w:p>
      <w:pPr>
        <w:spacing w:line="660" w:lineRule="exact"/>
        <w:ind w:left="5" w:right="4"/>
        <w:jc w:val="center"/>
        <w:rPr>
          <w:rFonts w:ascii="宋体" w:hAnsi="宋体"/>
          <w:b/>
          <w:sz w:val="44"/>
          <w:szCs w:val="44"/>
        </w:rPr>
      </w:pPr>
      <w:r>
        <w:rPr>
          <w:rFonts w:hint="eastAsia" w:ascii="宋体" w:hAnsi="宋体"/>
          <w:b/>
          <w:sz w:val="44"/>
          <w:szCs w:val="44"/>
        </w:rPr>
        <w:t>报告摘要</w:t>
      </w:r>
      <w:bookmarkStart w:id="0" w:name="_GoBack"/>
      <w:bookmarkEnd w:id="0"/>
    </w:p>
    <w:p>
      <w:pPr>
        <w:pStyle w:val="2"/>
        <w:spacing w:line="660" w:lineRule="exact"/>
        <w:ind w:left="753"/>
        <w:rPr>
          <w:rFonts w:ascii="黑体" w:eastAsia="黑体"/>
        </w:rPr>
      </w:pPr>
    </w:p>
    <w:p>
      <w:pPr>
        <w:pStyle w:val="2"/>
        <w:spacing w:line="660" w:lineRule="exact"/>
        <w:ind w:left="753"/>
        <w:rPr>
          <w:rFonts w:ascii="黑体" w:eastAsia="黑体"/>
        </w:rPr>
      </w:pPr>
      <w:r>
        <w:rPr>
          <w:rFonts w:hint="eastAsia" w:ascii="黑体" w:eastAsia="黑体"/>
        </w:rPr>
        <w:t>一、项目基本情况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（一）项目立项背景及实施目的</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（二）项目预算安排和支出情况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（三）项目主要内容和实施情况</w:t>
      </w:r>
    </w:p>
    <w:p>
      <w:pPr>
        <w:pStyle w:val="2"/>
        <w:spacing w:line="660" w:lineRule="exact"/>
        <w:ind w:left="752"/>
        <w:rPr>
          <w:rFonts w:ascii="黑体" w:eastAsia="黑体"/>
        </w:rPr>
      </w:pPr>
      <w:r>
        <w:rPr>
          <w:rFonts w:hint="eastAsia" w:ascii="黑体" w:eastAsia="黑体"/>
        </w:rPr>
        <w:t>二、项目绩效目标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（一）总体绩效目标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w:t>
      </w:r>
      <w:r>
        <w:rPr>
          <w:rFonts w:hint="eastAsia" w:ascii="仿宋_GB2312" w:hAnsi="Times New Roman" w:eastAsia="仿宋_GB2312" w:cs="Times New Roman"/>
        </w:rPr>
        <w:t>202</w:t>
      </w:r>
      <w:r>
        <w:rPr>
          <w:rFonts w:hint="eastAsia" w:ascii="仿宋_GB2312" w:hAnsi="Times New Roman" w:eastAsia="仿宋_GB2312" w:cs="Times New Roman"/>
          <w:lang w:val="en-US" w:eastAsia="zh-CN"/>
        </w:rPr>
        <w:t>3</w:t>
      </w:r>
      <w:r>
        <w:rPr>
          <w:rFonts w:hint="eastAsia" w:ascii="仿宋_GB2312" w:hAnsi="Times New Roman" w:eastAsia="仿宋_GB2312" w:cs="Times New Roman"/>
        </w:rPr>
        <w:t>年度（或阶段性）绩效目</w:t>
      </w:r>
      <w:r>
        <w:rPr>
          <w:rFonts w:hint="eastAsia" w:ascii="Times New Roman" w:hAnsi="Times New Roman" w:eastAsia="仿宋_GB2312" w:cs="Times New Roman"/>
        </w:rPr>
        <w:t>标</w:t>
      </w:r>
    </w:p>
    <w:p>
      <w:pPr>
        <w:pStyle w:val="2"/>
        <w:spacing w:line="660" w:lineRule="exact"/>
        <w:ind w:left="752"/>
        <w:rPr>
          <w:rFonts w:ascii="黑体" w:eastAsia="黑体"/>
        </w:rPr>
      </w:pPr>
      <w:r>
        <w:rPr>
          <w:rFonts w:hint="eastAsia" w:ascii="黑体" w:eastAsia="黑体"/>
        </w:rPr>
        <w:t>三、评价基本情况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（一）绩效评价目的、对象和范围</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（二）绩效评价原则、评价指标体系（简要说明）、评价方法、评价标准等</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（三）绩效评价工作过程</w:t>
      </w:r>
    </w:p>
    <w:p>
      <w:pPr>
        <w:pStyle w:val="2"/>
        <w:spacing w:line="660" w:lineRule="exact"/>
        <w:ind w:left="752"/>
        <w:rPr>
          <w:rFonts w:ascii="黑体" w:eastAsia="黑体"/>
        </w:rPr>
      </w:pPr>
      <w:r>
        <w:rPr>
          <w:rFonts w:hint="eastAsia" w:ascii="黑体" w:eastAsia="黑体"/>
        </w:rPr>
        <w:t>四、评价结论和绩效分析</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（一）综合评价结论</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（二）绩效分析</w:t>
      </w:r>
    </w:p>
    <w:p>
      <w:pPr>
        <w:pStyle w:val="2"/>
        <w:spacing w:line="660" w:lineRule="exact"/>
        <w:ind w:left="752" w:right="4738"/>
        <w:rPr>
          <w:rFonts w:ascii="黑体" w:eastAsia="黑体"/>
        </w:rPr>
      </w:pPr>
      <w:r>
        <w:rPr>
          <w:rFonts w:hint="eastAsia" w:ascii="黑体" w:eastAsia="黑体"/>
        </w:rPr>
        <w:t>五、存在问题及原因分析</w:t>
      </w:r>
    </w:p>
    <w:p>
      <w:pPr>
        <w:pStyle w:val="2"/>
        <w:spacing w:line="660" w:lineRule="exact"/>
        <w:ind w:left="752" w:right="4738"/>
        <w:rPr>
          <w:rFonts w:ascii="黑体" w:eastAsia="黑体"/>
        </w:rPr>
      </w:pPr>
      <w:r>
        <w:rPr>
          <w:rFonts w:hint="eastAsia" w:ascii="黑体" w:eastAsia="黑体"/>
        </w:rPr>
        <w:t>六、有关建议</w:t>
      </w:r>
    </w:p>
    <w:p>
      <w:pPr>
        <w:pStyle w:val="2"/>
        <w:spacing w:line="660" w:lineRule="exact"/>
        <w:ind w:left="111" w:right="125" w:firstLine="639"/>
        <w:rPr>
          <w:rFonts w:ascii="黑体" w:eastAsia="黑体"/>
        </w:rPr>
        <w:sectPr>
          <w:footerReference r:id="rId5" w:type="default"/>
          <w:pgSz w:w="11910" w:h="16840"/>
          <w:pgMar w:top="1600" w:right="1360" w:bottom="1320" w:left="1360" w:header="0" w:footer="1134" w:gutter="0"/>
          <w:pgNumType w:fmt="decimal"/>
          <w:cols w:space="720" w:num="1"/>
        </w:sectPr>
      </w:pPr>
    </w:p>
    <w:p>
      <w:pPr>
        <w:pStyle w:val="2"/>
        <w:spacing w:line="660" w:lineRule="exact"/>
        <w:rPr>
          <w:rFonts w:ascii="黑体"/>
        </w:rPr>
      </w:pPr>
    </w:p>
    <w:p>
      <w:pPr>
        <w:spacing w:line="660" w:lineRule="exact"/>
        <w:ind w:left="5" w:right="4"/>
        <w:jc w:val="center"/>
        <w:rPr>
          <w:rFonts w:ascii="宋体" w:hAnsi="宋体" w:eastAsia="宋体"/>
          <w:b/>
          <w:sz w:val="44"/>
          <w:szCs w:val="44"/>
        </w:rPr>
      </w:pPr>
      <w:r>
        <w:rPr>
          <w:rFonts w:hint="eastAsia" w:ascii="宋体" w:hAnsi="宋体" w:eastAsia="宋体"/>
          <w:b/>
          <w:sz w:val="44"/>
          <w:szCs w:val="44"/>
        </w:rPr>
        <w:t>报告正文</w:t>
      </w:r>
    </w:p>
    <w:p>
      <w:pPr>
        <w:spacing w:line="66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    </w:t>
      </w:r>
      <w:r>
        <w:rPr>
          <w:rFonts w:hint="default" w:ascii="Times New Roman" w:hAnsi="Times New Roman" w:eastAsia="仿宋_GB2312" w:cs="Times New Roman"/>
          <w:kern w:val="2"/>
          <w:sz w:val="32"/>
          <w:szCs w:val="32"/>
          <w:lang w:val="en-US" w:eastAsia="zh-CN" w:bidi="ar-SA"/>
        </w:rPr>
        <w:t>为</w:t>
      </w:r>
      <w:r>
        <w:rPr>
          <w:rFonts w:hint="eastAsia" w:ascii="Times New Roman" w:hAnsi="Times New Roman" w:eastAsia="仿宋_GB2312" w:cs="Times New Roman"/>
          <w:kern w:val="2"/>
          <w:sz w:val="32"/>
          <w:szCs w:val="32"/>
          <w:lang w:val="en-US" w:eastAsia="zh-CN" w:bidi="ar-SA"/>
        </w:rPr>
        <w:t>了</w:t>
      </w:r>
      <w:r>
        <w:rPr>
          <w:rFonts w:hint="default" w:ascii="Times New Roman" w:hAnsi="Times New Roman" w:eastAsia="仿宋_GB2312" w:cs="Times New Roman"/>
          <w:kern w:val="2"/>
          <w:sz w:val="32"/>
          <w:szCs w:val="32"/>
          <w:lang w:val="en-US" w:eastAsia="zh-CN" w:bidi="ar-SA"/>
        </w:rPr>
        <w:t>进一步加强财政资金管理，强化支出责任，提高财政资金的使用效益和管理水平，根据《</w:t>
      </w:r>
      <w:r>
        <w:rPr>
          <w:rFonts w:hint="eastAsia" w:ascii="Times New Roman" w:hAnsi="Times New Roman" w:eastAsia="仿宋_GB2312" w:cs="Times New Roman"/>
          <w:kern w:val="2"/>
          <w:sz w:val="32"/>
          <w:szCs w:val="32"/>
          <w:lang w:val="en-US" w:eastAsia="zh-CN" w:bidi="ar-SA"/>
        </w:rPr>
        <w:t>天水市</w:t>
      </w:r>
      <w:r>
        <w:rPr>
          <w:rFonts w:hint="default" w:ascii="Times New Roman" w:hAnsi="Times New Roman" w:eastAsia="仿宋_GB2312" w:cs="Times New Roman"/>
          <w:kern w:val="2"/>
          <w:sz w:val="32"/>
          <w:szCs w:val="32"/>
          <w:lang w:val="en-US" w:eastAsia="zh-CN" w:bidi="ar-SA"/>
        </w:rPr>
        <w:t>财政局关于开展202</w:t>
      </w:r>
      <w:r>
        <w:rPr>
          <w:rFonts w:hint="eastAsia" w:ascii="Times New Roman" w:hAnsi="Times New Roman" w:eastAsia="仿宋_GB2312" w:cs="Times New Roman"/>
          <w:kern w:val="2"/>
          <w:sz w:val="32"/>
          <w:szCs w:val="32"/>
          <w:lang w:val="en-US" w:eastAsia="zh-CN" w:bidi="ar-SA"/>
        </w:rPr>
        <w:t>3</w:t>
      </w:r>
      <w:r>
        <w:rPr>
          <w:rFonts w:hint="default" w:ascii="Times New Roman" w:hAnsi="Times New Roman" w:eastAsia="仿宋_GB2312" w:cs="Times New Roman"/>
          <w:kern w:val="2"/>
          <w:sz w:val="32"/>
          <w:szCs w:val="32"/>
          <w:lang w:val="en-US" w:eastAsia="zh-CN" w:bidi="ar-SA"/>
        </w:rPr>
        <w:t>年度</w:t>
      </w:r>
      <w:r>
        <w:rPr>
          <w:rFonts w:hint="eastAsia" w:ascii="Times New Roman" w:hAnsi="Times New Roman" w:eastAsia="仿宋_GB2312" w:cs="Times New Roman"/>
          <w:kern w:val="2"/>
          <w:sz w:val="32"/>
          <w:szCs w:val="32"/>
          <w:lang w:val="en-US" w:eastAsia="zh-CN" w:bidi="ar-SA"/>
        </w:rPr>
        <w:t>市</w:t>
      </w:r>
      <w:r>
        <w:rPr>
          <w:rFonts w:hint="default" w:ascii="Times New Roman" w:hAnsi="Times New Roman" w:eastAsia="仿宋_GB2312" w:cs="Times New Roman"/>
          <w:kern w:val="2"/>
          <w:sz w:val="32"/>
          <w:szCs w:val="32"/>
          <w:lang w:val="en-US" w:eastAsia="zh-CN" w:bidi="ar-SA"/>
        </w:rPr>
        <w:t>级</w:t>
      </w:r>
      <w:r>
        <w:rPr>
          <w:rFonts w:hint="eastAsia" w:ascii="Times New Roman" w:hAnsi="Times New Roman" w:eastAsia="仿宋_GB2312" w:cs="Times New Roman"/>
          <w:kern w:val="2"/>
          <w:sz w:val="32"/>
          <w:szCs w:val="32"/>
          <w:lang w:val="en-US" w:eastAsia="zh-CN" w:bidi="ar-SA"/>
        </w:rPr>
        <w:t>预算执行项目部门和</w:t>
      </w:r>
      <w:r>
        <w:rPr>
          <w:rFonts w:hint="default" w:ascii="Times New Roman" w:hAnsi="Times New Roman" w:eastAsia="仿宋_GB2312" w:cs="Times New Roman"/>
          <w:kern w:val="2"/>
          <w:sz w:val="32"/>
          <w:szCs w:val="32"/>
          <w:lang w:val="en-US" w:eastAsia="zh-CN" w:bidi="ar-SA"/>
        </w:rPr>
        <w:t>财政评价工作的通知》</w:t>
      </w:r>
      <w:r>
        <w:rPr>
          <w:rFonts w:hint="eastAsia" w:ascii="Times New Roman" w:hAnsi="Times New Roman" w:eastAsia="仿宋_GB2312" w:cs="Times New Roman"/>
          <w:kern w:val="2"/>
          <w:sz w:val="32"/>
          <w:szCs w:val="32"/>
          <w:lang w:val="en-US" w:eastAsia="zh-CN" w:bidi="ar-SA"/>
        </w:rPr>
        <w:t>天</w:t>
      </w:r>
      <w:r>
        <w:rPr>
          <w:rFonts w:hint="default" w:ascii="Times New Roman" w:hAnsi="Times New Roman" w:eastAsia="仿宋_GB2312" w:cs="Times New Roman"/>
          <w:kern w:val="2"/>
          <w:sz w:val="32"/>
          <w:szCs w:val="32"/>
          <w:lang w:val="en-US" w:eastAsia="zh-CN" w:bidi="ar-SA"/>
        </w:rPr>
        <w:t>财</w:t>
      </w:r>
      <w:r>
        <w:rPr>
          <w:rFonts w:hint="eastAsia" w:ascii="Times New Roman" w:hAnsi="Times New Roman" w:eastAsia="仿宋_GB2312" w:cs="Times New Roman"/>
          <w:kern w:val="2"/>
          <w:sz w:val="32"/>
          <w:szCs w:val="32"/>
          <w:lang w:val="en-US" w:eastAsia="zh-CN" w:bidi="ar-SA"/>
        </w:rPr>
        <w:t>绩</w:t>
      </w:r>
      <w:r>
        <w:rPr>
          <w:rFonts w:hint="default" w:ascii="Times New Roman" w:hAnsi="Times New Roman" w:eastAsia="仿宋_GB2312" w:cs="Times New Roman"/>
          <w:kern w:val="2"/>
          <w:sz w:val="32"/>
          <w:szCs w:val="32"/>
          <w:lang w:val="en-US" w:eastAsia="zh-CN" w:bidi="ar-SA"/>
        </w:rPr>
        <w:t>〔202</w:t>
      </w:r>
      <w:r>
        <w:rPr>
          <w:rFonts w:hint="eastAsia" w:ascii="Times New Roman" w:hAnsi="Times New Roman" w:eastAsia="仿宋_GB2312" w:cs="Times New Roman"/>
          <w:kern w:val="2"/>
          <w:sz w:val="32"/>
          <w:szCs w:val="32"/>
          <w:lang w:val="en-US" w:eastAsia="zh-CN" w:bidi="ar-SA"/>
        </w:rPr>
        <w:t>4</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9</w:t>
      </w:r>
      <w:r>
        <w:rPr>
          <w:rFonts w:hint="default" w:ascii="Times New Roman" w:hAnsi="Times New Roman" w:eastAsia="仿宋_GB2312" w:cs="Times New Roman"/>
          <w:kern w:val="2"/>
          <w:sz w:val="32"/>
          <w:szCs w:val="32"/>
          <w:lang w:val="en-US" w:eastAsia="zh-CN" w:bidi="ar-SA"/>
        </w:rPr>
        <w:t>号等文件的有关规定，对202</w:t>
      </w:r>
      <w:r>
        <w:rPr>
          <w:rFonts w:hint="eastAsia" w:ascii="Times New Roman" w:hAnsi="Times New Roman" w:eastAsia="仿宋_GB2312" w:cs="Times New Roman"/>
          <w:kern w:val="2"/>
          <w:sz w:val="32"/>
          <w:szCs w:val="32"/>
          <w:lang w:val="en-US" w:eastAsia="zh-CN" w:bidi="ar-SA"/>
        </w:rPr>
        <w:t>3</w:t>
      </w:r>
      <w:r>
        <w:rPr>
          <w:rFonts w:hint="default" w:ascii="Times New Roman" w:hAnsi="Times New Roman" w:eastAsia="仿宋_GB2312" w:cs="Times New Roman"/>
          <w:kern w:val="2"/>
          <w:sz w:val="32"/>
          <w:szCs w:val="32"/>
          <w:lang w:val="en-US" w:eastAsia="zh-CN" w:bidi="ar-SA"/>
        </w:rPr>
        <w:t>年</w:t>
      </w:r>
      <w:r>
        <w:rPr>
          <w:rFonts w:hint="eastAsia" w:ascii="Times New Roman" w:hAnsi="Times New Roman" w:eastAsia="仿宋_GB2312" w:cs="Times New Roman"/>
          <w:kern w:val="2"/>
          <w:sz w:val="32"/>
          <w:szCs w:val="32"/>
          <w:lang w:val="en-US" w:eastAsia="zh-CN" w:bidi="ar-SA"/>
        </w:rPr>
        <w:t>天水市城市更新服务中心项目群众代表误工费</w:t>
      </w:r>
      <w:r>
        <w:rPr>
          <w:rFonts w:hint="default" w:ascii="Times New Roman" w:hAnsi="Times New Roman" w:eastAsia="仿宋_GB2312" w:cs="Times New Roman"/>
          <w:kern w:val="2"/>
          <w:sz w:val="32"/>
          <w:szCs w:val="32"/>
          <w:lang w:val="en-US" w:eastAsia="zh-CN" w:bidi="ar-SA"/>
        </w:rPr>
        <w:t>开展绩效评价</w:t>
      </w:r>
      <w:r>
        <w:rPr>
          <w:rFonts w:hint="eastAsia" w:ascii="Times New Roman" w:hAnsi="Times New Roman" w:eastAsia="仿宋_GB2312" w:cs="Times New Roman"/>
          <w:kern w:val="2"/>
          <w:sz w:val="32"/>
          <w:szCs w:val="32"/>
          <w:lang w:val="en-US" w:eastAsia="zh-CN" w:bidi="ar-SA"/>
        </w:rPr>
        <w:t>。</w:t>
      </w:r>
    </w:p>
    <w:p>
      <w:pPr>
        <w:pStyle w:val="2"/>
        <w:tabs>
          <w:tab w:val="left" w:pos="621"/>
        </w:tabs>
        <w:spacing w:line="660" w:lineRule="exact"/>
        <w:ind w:left="753"/>
        <w:rPr>
          <w:rFonts w:hint="eastAsia" w:ascii="黑体" w:eastAsia="黑体"/>
        </w:rPr>
      </w:pPr>
      <w:r>
        <w:rPr>
          <w:rFonts w:hint="eastAsia" w:ascii="黑体" w:eastAsia="黑体"/>
        </w:rPr>
        <w:t>一、项目基本情况</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（一）项目立项背景。</w:t>
      </w:r>
    </w:p>
    <w:p>
      <w:pPr>
        <w:pStyle w:val="2"/>
        <w:spacing w:line="660" w:lineRule="exact"/>
        <w:ind w:left="111" w:right="125" w:firstLine="639"/>
        <w:rPr>
          <w:rFonts w:hint="eastAsia" w:ascii="Times New Roman" w:hAnsi="Times New Roman" w:eastAsia="仿宋_GB2312" w:cs="Times New Roman"/>
          <w:lang w:val="en-US" w:eastAsia="zh-CN"/>
        </w:rPr>
      </w:pPr>
      <w:r>
        <w:rPr>
          <w:rFonts w:hint="eastAsia" w:ascii="Times New Roman" w:hAnsi="Times New Roman" w:eastAsia="仿宋_GB2312" w:cs="Times New Roman"/>
        </w:rPr>
        <w:t xml:space="preserve"> </w:t>
      </w:r>
      <w:r>
        <w:rPr>
          <w:rFonts w:hint="eastAsia" w:ascii="Times New Roman" w:hAnsi="Times New Roman" w:eastAsia="仿宋_GB2312" w:cs="Times New Roman"/>
          <w:lang w:val="en-US" w:eastAsia="zh-CN"/>
        </w:rPr>
        <w:t>为全面加强</w:t>
      </w:r>
      <w:r>
        <w:rPr>
          <w:rFonts w:hint="eastAsia" w:ascii="Times New Roman" w:hAnsi="Times New Roman" w:eastAsia="仿宋_GB2312" w:cs="Times New Roman"/>
          <w:kern w:val="2"/>
          <w:sz w:val="32"/>
          <w:szCs w:val="32"/>
          <w:lang w:val="en-US" w:eastAsia="zh-CN" w:bidi="ar-SA"/>
        </w:rPr>
        <w:t>秦州区城市更新改造（棚户区改造）项目等项目的</w:t>
      </w:r>
      <w:r>
        <w:rPr>
          <w:rFonts w:hint="eastAsia" w:ascii="Times New Roman" w:hAnsi="Times New Roman" w:eastAsia="仿宋_GB2312" w:cs="Times New Roman"/>
          <w:lang w:val="en-US" w:eastAsia="zh-CN"/>
        </w:rPr>
        <w:t>房屋征收工作,确保拆迁安置补偿工作能够平稳有序开展,确保天水市经济发展规划，成立了天水市城市更新指挥部下设东方红片区等征迁办公室，具体负责该项目征地拆迁安置补偿工作的实施、协调、监督和管理。</w:t>
      </w:r>
    </w:p>
    <w:p>
      <w:pPr>
        <w:pStyle w:val="2"/>
        <w:spacing w:line="660" w:lineRule="exact"/>
        <w:ind w:left="111" w:right="125" w:firstLine="639"/>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单位的主要职责是依照征地拆迁的法律、法规和地方政府的有关征地拆迁安置政策，实施征地房屋拆迁安置工作。为保证征地拆迁工作正常运转和推进，还根据不同的工作流程特设征收科，法规科，安置科等，以进一步落实工作责任，确保市重点项目有序、高效、整体推进，为城市发展建设提供强有力的用地保障。</w:t>
      </w:r>
    </w:p>
    <w:p>
      <w:pPr>
        <w:pStyle w:val="2"/>
        <w:numPr>
          <w:ilvl w:val="0"/>
          <w:numId w:val="0"/>
        </w:numPr>
        <w:spacing w:line="660" w:lineRule="exact"/>
        <w:ind w:left="750" w:leftChars="0" w:right="125"/>
        <w:rPr>
          <w:rFonts w:hint="eastAsia" w:ascii="Times New Roman" w:hAnsi="Times New Roman" w:eastAsia="仿宋_GB2312" w:cs="Times New Roman"/>
        </w:rPr>
      </w:pPr>
      <w:r>
        <w:rPr>
          <w:rFonts w:hint="eastAsia" w:ascii="Times New Roman" w:hAnsi="Times New Roman" w:eastAsia="仿宋_GB2312" w:cs="Times New Roman"/>
        </w:rPr>
        <w:t>（二）项目预算安排及使用情况。</w:t>
      </w:r>
    </w:p>
    <w:p>
      <w:pPr>
        <w:pStyle w:val="2"/>
        <w:numPr>
          <w:ilvl w:val="0"/>
          <w:numId w:val="0"/>
        </w:numPr>
        <w:spacing w:line="660" w:lineRule="exact"/>
        <w:ind w:right="125"/>
        <w:rPr>
          <w:rFonts w:hint="eastAsia" w:ascii="Times New Roman" w:hAnsi="Times New Roman" w:eastAsia="仿宋_GB2312" w:cs="Times New Roman"/>
        </w:rPr>
      </w:pPr>
      <w:r>
        <w:rPr>
          <w:rFonts w:hint="eastAsia" w:ascii="Times New Roman" w:hAnsi="Times New Roman" w:eastAsia="仿宋_GB2312" w:cs="Times New Roman"/>
          <w:lang w:val="en-US" w:eastAsia="zh-CN"/>
        </w:rPr>
        <w:t xml:space="preserve">     </w:t>
      </w:r>
      <w:r>
        <w:rPr>
          <w:rFonts w:hint="eastAsia" w:ascii="Times New Roman" w:hAnsi="Times New Roman" w:eastAsia="仿宋_GB2312" w:cs="Times New Roman"/>
        </w:rPr>
        <w:t>202</w:t>
      </w: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年项目预算资金</w:t>
      </w:r>
      <w:r>
        <w:rPr>
          <w:rFonts w:hint="eastAsia" w:ascii="Times New Roman" w:hAnsi="Times New Roman" w:eastAsia="仿宋_GB2312" w:cs="Times New Roman"/>
          <w:lang w:val="en-US" w:eastAsia="zh-CN"/>
        </w:rPr>
        <w:t>5</w:t>
      </w:r>
      <w:r>
        <w:rPr>
          <w:rFonts w:hint="eastAsia" w:ascii="Times New Roman" w:hAnsi="Times New Roman" w:eastAsia="仿宋_GB2312" w:cs="Times New Roman"/>
        </w:rPr>
        <w:t>万元，</w:t>
      </w:r>
      <w:r>
        <w:rPr>
          <w:rFonts w:hint="eastAsia" w:ascii="Times New Roman" w:hAnsi="Times New Roman" w:eastAsia="仿宋_GB2312" w:cs="Times New Roman"/>
          <w:lang w:val="en-US" w:eastAsia="zh-CN"/>
        </w:rPr>
        <w:t>预算编制比较准确。</w:t>
      </w:r>
      <w:r>
        <w:rPr>
          <w:rFonts w:hint="eastAsia" w:ascii="Times New Roman" w:hAnsi="Times New Roman" w:eastAsia="仿宋_GB2312" w:cs="Times New Roman"/>
        </w:rPr>
        <w:t>项目实际到位资金</w:t>
      </w:r>
      <w:r>
        <w:rPr>
          <w:rFonts w:hint="eastAsia" w:ascii="Times New Roman" w:hAnsi="Times New Roman" w:eastAsia="仿宋_GB2312" w:cs="Times New Roman"/>
          <w:lang w:val="en-US" w:eastAsia="zh-CN"/>
        </w:rPr>
        <w:t>5</w:t>
      </w:r>
      <w:r>
        <w:rPr>
          <w:rFonts w:hint="eastAsia" w:ascii="Times New Roman" w:hAnsi="Times New Roman" w:eastAsia="仿宋_GB2312" w:cs="Times New Roman"/>
        </w:rPr>
        <w:t>万元</w:t>
      </w:r>
      <w:r>
        <w:rPr>
          <w:rFonts w:hint="eastAsia" w:ascii="Times New Roman" w:hAnsi="Times New Roman" w:eastAsia="仿宋_GB2312" w:cs="Times New Roman"/>
          <w:lang w:eastAsia="zh-CN"/>
        </w:rPr>
        <w:t>，</w:t>
      </w:r>
      <w:r>
        <w:rPr>
          <w:rFonts w:hint="eastAsia" w:ascii="Times New Roman" w:hAnsi="Times New Roman" w:eastAsia="仿宋_GB2312" w:cs="Times New Roman"/>
        </w:rPr>
        <w:t>预算执行率为</w:t>
      </w:r>
      <w:r>
        <w:rPr>
          <w:rFonts w:hint="eastAsia" w:ascii="Times New Roman" w:hAnsi="Times New Roman" w:eastAsia="仿宋_GB2312" w:cs="Times New Roman"/>
          <w:lang w:val="en-US" w:eastAsia="zh-CN"/>
        </w:rPr>
        <w:t>100</w:t>
      </w:r>
      <w:r>
        <w:rPr>
          <w:rFonts w:hint="eastAsia" w:ascii="Times New Roman" w:hAnsi="Times New Roman" w:eastAsia="仿宋_GB2312" w:cs="Times New Roman"/>
        </w:rPr>
        <w:t>%。</w:t>
      </w:r>
    </w:p>
    <w:p>
      <w:pPr>
        <w:pStyle w:val="2"/>
        <w:spacing w:line="660" w:lineRule="exact"/>
        <w:ind w:left="111" w:right="125" w:firstLine="639"/>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（三）项目计划内容及实施情况。</w:t>
      </w:r>
    </w:p>
    <w:p>
      <w:pPr>
        <w:numPr>
          <w:ilvl w:val="0"/>
          <w:numId w:val="0"/>
        </w:numPr>
        <w:spacing w:line="660" w:lineRule="exact"/>
        <w:ind w:right="125"/>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     征收房屋计划拆迁总面积约307731.09㎡，签订协议约3697户，其中：计划进行安置房建设；东方红（南、北）、罗玉小区（北、东、西）、枣园村陈家庄片区。实际实施拆迁总面积约425000㎡，签订协议约4113户，其中：东方红（南、北）、罗玉小区（北、东、西）已全面完成征收工作。</w:t>
      </w:r>
    </w:p>
    <w:p>
      <w:pPr>
        <w:numPr>
          <w:ilvl w:val="0"/>
          <w:numId w:val="0"/>
        </w:numPr>
        <w:tabs>
          <w:tab w:val="center" w:pos="4153"/>
        </w:tabs>
        <w:spacing w:line="660" w:lineRule="exact"/>
        <w:ind w:left="750" w:leftChars="0" w:right="125"/>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（四）项目组织管理。</w:t>
      </w:r>
      <w:r>
        <w:rPr>
          <w:rFonts w:hint="eastAsia" w:ascii="Times New Roman" w:hAnsi="Times New Roman" w:eastAsia="仿宋_GB2312" w:cs="Times New Roman"/>
          <w:kern w:val="2"/>
          <w:sz w:val="32"/>
          <w:szCs w:val="32"/>
          <w:lang w:val="en-US" w:eastAsia="zh-CN" w:bidi="ar-SA"/>
        </w:rPr>
        <w:tab/>
      </w:r>
    </w:p>
    <w:p>
      <w:pPr>
        <w:numPr>
          <w:ilvl w:val="0"/>
          <w:numId w:val="0"/>
        </w:numPr>
        <w:tabs>
          <w:tab w:val="center" w:pos="4153"/>
        </w:tabs>
        <w:spacing w:line="660" w:lineRule="exact"/>
        <w:ind w:left="750" w:leftChars="0" w:right="125"/>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 业务管理</w:t>
      </w:r>
    </w:p>
    <w:p>
      <w:pPr>
        <w:pStyle w:val="2"/>
        <w:spacing w:line="660" w:lineRule="exact"/>
        <w:ind w:left="111" w:right="125" w:firstLine="639"/>
        <w:rPr>
          <w:rFonts w:hint="eastAsia" w:ascii="Times New Roman" w:hAnsi="Times New Roman" w:eastAsia="仿宋_GB2312" w:cs="Times New Roman"/>
          <w:lang w:val="en-US" w:eastAsia="zh-CN"/>
        </w:rPr>
      </w:pPr>
      <w:r>
        <w:rPr>
          <w:rFonts w:hint="default" w:ascii="Times New Roman" w:hAnsi="Times New Roman" w:eastAsia="仿宋_GB2312" w:cs="Times New Roman"/>
          <w:kern w:val="2"/>
          <w:sz w:val="32"/>
          <w:szCs w:val="32"/>
          <w:lang w:val="en-US" w:eastAsia="zh-CN" w:bidi="ar-SA"/>
        </w:rPr>
        <w:t>为保障</w:t>
      </w:r>
      <w:r>
        <w:rPr>
          <w:rFonts w:hint="eastAsia" w:ascii="Times New Roman" w:hAnsi="Times New Roman" w:eastAsia="仿宋_GB2312" w:cs="Times New Roman"/>
          <w:kern w:val="2"/>
          <w:sz w:val="32"/>
          <w:szCs w:val="32"/>
          <w:lang w:val="en-US" w:eastAsia="zh-CN" w:bidi="ar-SA"/>
        </w:rPr>
        <w:t>居民</w:t>
      </w:r>
      <w:r>
        <w:rPr>
          <w:rFonts w:hint="default" w:ascii="Times New Roman" w:hAnsi="Times New Roman" w:eastAsia="仿宋_GB2312" w:cs="Times New Roman"/>
          <w:kern w:val="2"/>
          <w:sz w:val="32"/>
          <w:szCs w:val="32"/>
          <w:lang w:val="en-US" w:eastAsia="zh-CN" w:bidi="ar-SA"/>
        </w:rPr>
        <w:t>集中搬迁</w:t>
      </w:r>
      <w:r>
        <w:rPr>
          <w:rFonts w:hint="eastAsia" w:ascii="Times New Roman" w:hAnsi="Times New Roman" w:eastAsia="仿宋_GB2312" w:cs="Times New Roman"/>
          <w:kern w:val="2"/>
          <w:sz w:val="32"/>
          <w:szCs w:val="32"/>
          <w:lang w:val="en-US" w:eastAsia="zh-CN" w:bidi="ar-SA"/>
        </w:rPr>
        <w:t>并</w:t>
      </w:r>
      <w:r>
        <w:rPr>
          <w:rFonts w:hint="default" w:ascii="Times New Roman" w:hAnsi="Times New Roman" w:eastAsia="仿宋_GB2312" w:cs="Times New Roman"/>
          <w:kern w:val="2"/>
          <w:sz w:val="32"/>
          <w:szCs w:val="32"/>
          <w:lang w:val="en-US" w:eastAsia="zh-CN" w:bidi="ar-SA"/>
        </w:rPr>
        <w:t>进一步优化工作秩序, 维护被置换人的合法权益, 特设立领导小组及分工小组</w:t>
      </w:r>
      <w:r>
        <w:rPr>
          <w:rFonts w:hint="eastAsia" w:ascii="Times New Roman" w:hAnsi="Times New Roman" w:eastAsia="仿宋_GB2312" w:cs="Times New Roman"/>
          <w:lang w:val="en-US" w:eastAsia="zh-CN"/>
        </w:rPr>
        <w:t>来负责该项目征地拆迁安置补偿工作的实施、协调、监督和管理。</w:t>
      </w:r>
    </w:p>
    <w:p>
      <w:pPr>
        <w:pStyle w:val="2"/>
        <w:spacing w:line="660" w:lineRule="exact"/>
        <w:ind w:left="111" w:right="125" w:firstLine="639"/>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w:t>
      </w:r>
      <w:r>
        <w:rPr>
          <w:rFonts w:hint="default" w:ascii="Times New Roman" w:hAnsi="Times New Roman" w:eastAsia="仿宋_GB2312" w:cs="Times New Roman"/>
          <w:lang w:val="en-US" w:eastAsia="zh-CN"/>
        </w:rPr>
        <w:t>(2) 财务管理</w:t>
      </w:r>
    </w:p>
    <w:p>
      <w:pPr>
        <w:pStyle w:val="2"/>
        <w:spacing w:line="660" w:lineRule="exact"/>
        <w:ind w:left="111" w:right="125" w:firstLine="639"/>
        <w:rPr>
          <w:rFonts w:hint="default" w:ascii="Times New Roman" w:hAnsi="Times New Roman" w:eastAsia="仿宋_GB2312" w:cs="Times New Roman"/>
          <w:lang w:val="en-US" w:eastAsia="zh-CN"/>
        </w:rPr>
      </w:pPr>
      <w:r>
        <w:rPr>
          <w:rFonts w:hint="default" w:ascii="Times New Roman" w:hAnsi="Times New Roman" w:eastAsia="仿宋_GB2312" w:cs="Times New Roman"/>
          <w:lang w:val="en-US" w:eastAsia="zh-CN"/>
        </w:rPr>
        <w:t>本项目的财务管理按照《中华人民共和国会计法》</w:t>
      </w:r>
      <w:r>
        <w:rPr>
          <w:rFonts w:hint="eastAsia" w:ascii="Times New Roman" w:hAnsi="Times New Roman" w:eastAsia="仿宋_GB2312" w:cs="Times New Roman"/>
          <w:lang w:val="en-US" w:eastAsia="zh-CN"/>
        </w:rPr>
        <w:t>、《中华人民共和国预算法》、《事业单位会计准则》、《会计基础工作规范》等法律、 法规和制度执行。</w:t>
      </w:r>
    </w:p>
    <w:p>
      <w:pPr>
        <w:pStyle w:val="2"/>
        <w:spacing w:line="660" w:lineRule="exact"/>
        <w:ind w:left="753"/>
        <w:rPr>
          <w:rFonts w:ascii="黑体" w:eastAsia="黑体"/>
        </w:rPr>
      </w:pPr>
      <w:r>
        <w:rPr>
          <w:rFonts w:hint="eastAsia" w:ascii="黑体" w:eastAsia="黑体"/>
        </w:rPr>
        <w:t>二、项目绩效目标</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为加强</w:t>
      </w:r>
      <w:r>
        <w:rPr>
          <w:rFonts w:hint="eastAsia" w:ascii="Times New Roman" w:hAnsi="Times New Roman" w:eastAsia="仿宋_GB2312" w:cs="Times New Roman"/>
          <w:lang w:eastAsia="zh-CN"/>
        </w:rPr>
        <w:t>该项目的</w:t>
      </w:r>
      <w:r>
        <w:rPr>
          <w:rFonts w:hint="eastAsia" w:ascii="Times New Roman" w:hAnsi="Times New Roman" w:eastAsia="仿宋_GB2312" w:cs="Times New Roman"/>
        </w:rPr>
        <w:t>征拆工作建设，推动各项目顺利开展，按照国家政策及相关文件的精神，我们根据</w:t>
      </w:r>
      <w:r>
        <w:rPr>
          <w:rFonts w:hint="eastAsia" w:ascii="Times New Roman" w:hAnsi="Times New Roman" w:eastAsia="仿宋_GB2312" w:cs="Times New Roman"/>
          <w:lang w:eastAsia="zh-CN"/>
        </w:rPr>
        <w:t>项目的</w:t>
      </w:r>
      <w:r>
        <w:rPr>
          <w:rFonts w:hint="eastAsia" w:ascii="Times New Roman" w:hAnsi="Times New Roman" w:eastAsia="仿宋_GB2312" w:cs="Times New Roman"/>
        </w:rPr>
        <w:t>实际情况细化了绩效目标，具体如下：</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1、完成项目拆迁工作</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2、促进城市发展，刺激经济增长</w:t>
      </w:r>
    </w:p>
    <w:p>
      <w:pPr>
        <w:pStyle w:val="2"/>
        <w:spacing w:line="660" w:lineRule="exact"/>
        <w:ind w:left="111" w:right="125" w:firstLine="639"/>
        <w:rPr>
          <w:rFonts w:hint="eastAsia" w:ascii="Times New Roman" w:hAnsi="Times New Roman" w:eastAsia="仿宋_GB2312" w:cs="Times New Roman"/>
          <w:lang w:val="en-US" w:eastAsia="zh-CN"/>
        </w:rPr>
      </w:pPr>
      <w:r>
        <w:rPr>
          <w:rFonts w:hint="eastAsia" w:ascii="Times New Roman" w:hAnsi="Times New Roman" w:eastAsia="仿宋_GB2312" w:cs="Times New Roman"/>
        </w:rPr>
        <w:t>3、</w:t>
      </w:r>
      <w:r>
        <w:rPr>
          <w:rFonts w:hint="eastAsia" w:ascii="Times New Roman" w:hAnsi="Times New Roman" w:eastAsia="仿宋_GB2312" w:cs="Times New Roman"/>
          <w:lang w:val="en-US" w:eastAsia="zh-CN"/>
        </w:rPr>
        <w:t>改善困难群众住房条件，缓解城市内部二元矛盾，提升城镇综合承载能力</w:t>
      </w:r>
    </w:p>
    <w:p>
      <w:pPr>
        <w:pStyle w:val="2"/>
        <w:spacing w:line="660" w:lineRule="exact"/>
        <w:ind w:left="753"/>
        <w:rPr>
          <w:rFonts w:ascii="黑体" w:eastAsia="黑体"/>
        </w:rPr>
      </w:pPr>
      <w:r>
        <w:rPr>
          <w:rFonts w:hint="eastAsia" w:ascii="黑体" w:eastAsia="黑体"/>
        </w:rPr>
        <w:t>三、评价基本情况</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（一）评价</w:t>
      </w:r>
      <w:r>
        <w:rPr>
          <w:rFonts w:hint="eastAsia" w:ascii="Times New Roman" w:hAnsi="Times New Roman" w:eastAsia="仿宋_GB2312" w:cs="Times New Roman"/>
          <w:lang w:eastAsia="zh-CN"/>
        </w:rPr>
        <w:t>目的</w:t>
      </w:r>
      <w:r>
        <w:rPr>
          <w:rFonts w:hint="eastAsia" w:ascii="Times New Roman" w:hAnsi="Times New Roman" w:eastAsia="仿宋_GB2312" w:cs="Times New Roman"/>
        </w:rPr>
        <w:t>。</w:t>
      </w:r>
    </w:p>
    <w:p>
      <w:pPr>
        <w:spacing w:line="660" w:lineRule="exact"/>
        <w:ind w:left="111" w:right="125" w:firstLine="63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绩效评价的目的是根据年初设定的绩效目标，运用科学合理的绩效评价指标、评价标准和评价方法，对</w:t>
      </w:r>
      <w:r>
        <w:rPr>
          <w:rFonts w:hint="eastAsia" w:ascii="Times New Roman" w:hAnsi="Times New Roman" w:eastAsia="仿宋_GB2312" w:cs="Times New Roman"/>
          <w:kern w:val="2"/>
          <w:sz w:val="32"/>
          <w:szCs w:val="32"/>
          <w:lang w:val="en-US" w:eastAsia="zh-CN" w:bidi="ar-SA"/>
        </w:rPr>
        <w:t>秦州区东方红片区城市更新改造（棚户区改造）项目等项目</w:t>
      </w:r>
      <w:r>
        <w:rPr>
          <w:rFonts w:hint="default" w:ascii="Times New Roman" w:hAnsi="Times New Roman" w:eastAsia="仿宋_GB2312" w:cs="Times New Roman"/>
          <w:kern w:val="2"/>
          <w:sz w:val="32"/>
          <w:szCs w:val="32"/>
          <w:lang w:val="en-US" w:eastAsia="zh-CN" w:bidi="ar-SA"/>
        </w:rPr>
        <w:t>支出的经济性、效率性和效益性进行客观、公正的评价。</w:t>
      </w:r>
    </w:p>
    <w:p>
      <w:pPr>
        <w:pStyle w:val="2"/>
        <w:numPr>
          <w:ilvl w:val="0"/>
          <w:numId w:val="1"/>
        </w:numPr>
        <w:tabs>
          <w:tab w:val="center" w:pos="4153"/>
        </w:tabs>
        <w:spacing w:line="660" w:lineRule="exact"/>
        <w:ind w:left="111" w:right="125" w:firstLine="63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rPr>
        <w:t>评价对象与范围。</w:t>
      </w:r>
      <w:r>
        <w:rPr>
          <w:rFonts w:hint="eastAsia" w:ascii="Times New Roman" w:hAnsi="Times New Roman" w:eastAsia="仿宋_GB2312" w:cs="Times New Roman"/>
          <w:lang w:eastAsia="zh-CN"/>
        </w:rPr>
        <w:tab/>
      </w:r>
    </w:p>
    <w:p>
      <w:pPr>
        <w:spacing w:line="660" w:lineRule="exact"/>
        <w:ind w:left="111" w:right="125" w:firstLine="63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绩效评价的对象是</w:t>
      </w:r>
      <w:r>
        <w:rPr>
          <w:rFonts w:hint="eastAsia" w:ascii="Times New Roman" w:hAnsi="Times New Roman" w:eastAsia="仿宋_GB2312" w:cs="Times New Roman"/>
          <w:kern w:val="2"/>
          <w:sz w:val="32"/>
          <w:szCs w:val="32"/>
          <w:lang w:val="en-US" w:eastAsia="zh-CN" w:bidi="ar-SA"/>
        </w:rPr>
        <w:t>秦州区东方红片区城市更新改造（棚户区改造）项目等项目</w:t>
      </w:r>
      <w:r>
        <w:rPr>
          <w:rFonts w:hint="default" w:ascii="Times New Roman" w:hAnsi="Times New Roman" w:eastAsia="仿宋_GB2312" w:cs="Times New Roman"/>
          <w:kern w:val="2"/>
          <w:sz w:val="32"/>
          <w:szCs w:val="32"/>
          <w:lang w:val="en-US" w:eastAsia="zh-CN" w:bidi="ar-SA"/>
        </w:rPr>
        <w:t>支出资金。绩效评价的范围：一是财政资金使用情况、财务管理状况；二是绩效目标的实现程度，包括是否达到预定产出和效果等。</w:t>
      </w:r>
    </w:p>
    <w:p>
      <w:pPr>
        <w:pStyle w:val="2"/>
        <w:numPr>
          <w:ilvl w:val="0"/>
          <w:numId w:val="2"/>
        </w:numPr>
        <w:spacing w:line="660" w:lineRule="exact"/>
        <w:ind w:left="111" w:right="125" w:firstLine="63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rPr>
        <w:t>评价依据。</w:t>
      </w:r>
    </w:p>
    <w:p>
      <w:pPr>
        <w:pStyle w:val="2"/>
        <w:spacing w:line="660" w:lineRule="exact"/>
        <w:ind w:left="111" w:right="125" w:firstLine="63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rPr>
        <w:t>《</w:t>
      </w:r>
      <w:r>
        <w:rPr>
          <w:rFonts w:hint="eastAsia" w:ascii="Times New Roman" w:hAnsi="Times New Roman" w:eastAsia="仿宋_GB2312" w:cs="Times New Roman"/>
          <w:lang w:val="en-US" w:eastAsia="zh-CN"/>
        </w:rPr>
        <w:t>天水市</w:t>
      </w:r>
      <w:r>
        <w:rPr>
          <w:rFonts w:hint="eastAsia" w:ascii="Times New Roman" w:hAnsi="Times New Roman" w:eastAsia="仿宋_GB2312" w:cs="Times New Roman"/>
        </w:rPr>
        <w:t>人民政府办公室关于印发</w:t>
      </w:r>
      <w:r>
        <w:rPr>
          <w:rFonts w:hint="eastAsia" w:ascii="Times New Roman" w:hAnsi="Times New Roman" w:eastAsia="仿宋_GB2312" w:cs="Times New Roman"/>
          <w:lang w:eastAsia="zh-CN"/>
        </w:rPr>
        <w:t>天水市国有土地上房屋征收与补偿实施办法的通知</w:t>
      </w:r>
      <w:r>
        <w:rPr>
          <w:rFonts w:hint="eastAsia" w:ascii="Times New Roman" w:hAnsi="Times New Roman" w:eastAsia="仿宋_GB2312" w:cs="Times New Roman"/>
        </w:rPr>
        <w:t>》(</w:t>
      </w:r>
      <w:r>
        <w:rPr>
          <w:rFonts w:hint="eastAsia" w:ascii="Times New Roman" w:hAnsi="Times New Roman" w:eastAsia="仿宋_GB2312" w:cs="Times New Roman"/>
          <w:lang w:eastAsia="zh-CN"/>
        </w:rPr>
        <w:t>天</w:t>
      </w:r>
      <w:r>
        <w:rPr>
          <w:rFonts w:hint="eastAsia" w:ascii="Times New Roman" w:hAnsi="Times New Roman" w:eastAsia="仿宋_GB2312" w:cs="Times New Roman"/>
        </w:rPr>
        <w:t>政办</w:t>
      </w:r>
      <w:r>
        <w:rPr>
          <w:rFonts w:hint="eastAsia" w:ascii="Times New Roman" w:hAnsi="Times New Roman" w:eastAsia="仿宋_GB2312" w:cs="Times New Roman"/>
          <w:lang w:eastAsia="zh-CN"/>
        </w:rPr>
        <w:t>发</w:t>
      </w:r>
      <w:r>
        <w:rPr>
          <w:rFonts w:hint="eastAsia" w:ascii="Times New Roman" w:hAnsi="Times New Roman" w:eastAsia="仿宋_GB2312" w:cs="Times New Roman"/>
        </w:rPr>
        <w:t>【20</w:t>
      </w:r>
      <w:r>
        <w:rPr>
          <w:rFonts w:hint="eastAsia" w:ascii="Times New Roman" w:hAnsi="Times New Roman" w:eastAsia="仿宋_GB2312" w:cs="Times New Roman"/>
          <w:lang w:val="en-US" w:eastAsia="zh-CN"/>
        </w:rPr>
        <w:t>20</w:t>
      </w:r>
      <w:r>
        <w:rPr>
          <w:rFonts w:hint="eastAsia" w:ascii="Times New Roman" w:hAnsi="Times New Roman" w:eastAsia="仿宋_GB2312" w:cs="Times New Roman"/>
        </w:rPr>
        <w:t>】</w:t>
      </w:r>
      <w:r>
        <w:rPr>
          <w:rFonts w:hint="eastAsia" w:ascii="Times New Roman" w:hAnsi="Times New Roman" w:eastAsia="仿宋_GB2312" w:cs="Times New Roman"/>
          <w:lang w:val="en-US" w:eastAsia="zh-CN"/>
        </w:rPr>
        <w:t>67</w:t>
      </w:r>
      <w:r>
        <w:rPr>
          <w:rFonts w:hint="eastAsia" w:ascii="Times New Roman" w:hAnsi="Times New Roman" w:eastAsia="仿宋_GB2312" w:cs="Times New Roman"/>
        </w:rPr>
        <w:t>号)</w:t>
      </w:r>
    </w:p>
    <w:p>
      <w:pPr>
        <w:pStyle w:val="2"/>
        <w:numPr>
          <w:ilvl w:val="0"/>
          <w:numId w:val="3"/>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评价原则、评价方法。</w:t>
      </w:r>
    </w:p>
    <w:p>
      <w:pPr>
        <w:numPr>
          <w:ilvl w:val="0"/>
          <w:numId w:val="0"/>
        </w:numPr>
        <w:spacing w:line="660" w:lineRule="exact"/>
        <w:ind w:right="125"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绩效评价的原则：一是科学规范原则。绩效评价注重财政支出的经济性、效率性和有效性，严格执行规定的程序，采用定量与定性分析相结合的方法。二是公正公开原则。坚持客观公正，标准统一、资料可靠，依法公开并接受监督。三是分级分类原则。绩效评估由</w:t>
      </w:r>
      <w:r>
        <w:rPr>
          <w:rFonts w:hint="eastAsia" w:ascii="Times New Roman" w:hAnsi="Times New Roman" w:eastAsia="仿宋_GB2312" w:cs="Times New Roman"/>
          <w:kern w:val="2"/>
          <w:sz w:val="32"/>
          <w:szCs w:val="32"/>
          <w:lang w:val="en-US" w:eastAsia="zh-CN" w:bidi="ar-SA"/>
        </w:rPr>
        <w:t>市</w:t>
      </w:r>
      <w:r>
        <w:rPr>
          <w:rFonts w:hint="default" w:ascii="Times New Roman" w:hAnsi="Times New Roman" w:eastAsia="仿宋_GB2312" w:cs="Times New Roman"/>
          <w:kern w:val="2"/>
          <w:sz w:val="32"/>
          <w:szCs w:val="32"/>
          <w:lang w:val="en-US" w:eastAsia="zh-CN" w:bidi="ar-SA"/>
        </w:rPr>
        <w:t>级财政部门、相关单位根据评价对象的特点分类组织实施。四是绩效相关原则。绩效评价针对具体支出及其产出绩效进行，评价结果应清晰反映支出与产出绩效之间的紧密对应关系。</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（五）绩效评价指标体系。</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评价指标体系的构建是绩效评价工作的核心。我们遵循科学性、系统性、可操作性和可比性原则，结合项目的实际情况，从多个维度出发，构建了一套全面、客观的绩效评价指标体系。该体系包括预算执行与效率、社会效益评估、</w:t>
      </w:r>
      <w:r>
        <w:rPr>
          <w:rFonts w:hint="eastAsia" w:ascii="Times New Roman" w:hAnsi="Times New Roman" w:eastAsia="仿宋_GB2312" w:cs="Times New Roman"/>
          <w:lang w:val="en-US" w:eastAsia="zh-CN"/>
        </w:rPr>
        <w:t>群众</w:t>
      </w:r>
      <w:r>
        <w:rPr>
          <w:rFonts w:hint="eastAsia" w:ascii="Times New Roman" w:hAnsi="Times New Roman" w:eastAsia="仿宋_GB2312" w:cs="Times New Roman"/>
        </w:rPr>
        <w:t>满意度调查等</w:t>
      </w:r>
      <w:r>
        <w:rPr>
          <w:rFonts w:hint="eastAsia" w:ascii="Times New Roman" w:hAnsi="Times New Roman" w:eastAsia="仿宋_GB2312" w:cs="Times New Roman"/>
          <w:lang w:val="en-US" w:eastAsia="zh-CN"/>
        </w:rPr>
        <w:t>几</w:t>
      </w:r>
      <w:r>
        <w:rPr>
          <w:rFonts w:hint="eastAsia" w:ascii="Times New Roman" w:hAnsi="Times New Roman" w:eastAsia="仿宋_GB2312" w:cs="Times New Roman"/>
        </w:rPr>
        <w:t>个方面，旨在全面反映项目的绩效水平。</w:t>
      </w:r>
    </w:p>
    <w:p>
      <w:pPr>
        <w:pStyle w:val="2"/>
        <w:numPr>
          <w:ilvl w:val="0"/>
          <w:numId w:val="4"/>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预算执行与效率方面</w:t>
      </w:r>
    </w:p>
    <w:p>
      <w:pPr>
        <w:pStyle w:val="2"/>
        <w:numPr>
          <w:ilvl w:val="0"/>
          <w:numId w:val="0"/>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我们主要关注项目资金的筹集、分配和使用情况，以及项目实施的进度和效率。通过对比分析预算与实际支出，评估项目在资金利用方面的合理性和有效性；同时，结合项目实施的时间节点和完成情况，评价项目在进度控制和效率提升方面的表现。</w:t>
      </w:r>
    </w:p>
    <w:p>
      <w:pPr>
        <w:pStyle w:val="2"/>
        <w:numPr>
          <w:ilvl w:val="0"/>
          <w:numId w:val="4"/>
        </w:numPr>
        <w:spacing w:line="660" w:lineRule="exact"/>
        <w:ind w:left="111" w:leftChars="0" w:right="125" w:firstLine="639" w:firstLineChars="0"/>
        <w:rPr>
          <w:rFonts w:hint="eastAsia" w:ascii="Times New Roman" w:hAnsi="Times New Roman" w:eastAsia="仿宋_GB2312" w:cs="Times New Roman"/>
        </w:rPr>
      </w:pPr>
      <w:r>
        <w:rPr>
          <w:rFonts w:hint="eastAsia" w:ascii="Times New Roman" w:hAnsi="Times New Roman" w:eastAsia="仿宋_GB2312" w:cs="Times New Roman"/>
        </w:rPr>
        <w:t>社会经济效益评估</w:t>
      </w:r>
    </w:p>
    <w:p>
      <w:pPr>
        <w:pStyle w:val="2"/>
        <w:numPr>
          <w:ilvl w:val="0"/>
          <w:numId w:val="0"/>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社会经济效益评估是</w:t>
      </w:r>
      <w:r>
        <w:rPr>
          <w:rFonts w:hint="eastAsia" w:ascii="Times New Roman" w:hAnsi="Times New Roman" w:eastAsia="仿宋_GB2312" w:cs="Times New Roman"/>
          <w:lang w:eastAsia="zh-CN"/>
        </w:rPr>
        <w:t>房屋征收工作正常运转</w:t>
      </w:r>
      <w:r>
        <w:rPr>
          <w:rFonts w:hint="eastAsia" w:ascii="Times New Roman" w:hAnsi="Times New Roman" w:eastAsia="仿宋_GB2312" w:cs="Times New Roman"/>
        </w:rPr>
        <w:t>的重要方面。</w:t>
      </w:r>
    </w:p>
    <w:p>
      <w:pPr>
        <w:pStyle w:val="2"/>
        <w:numPr>
          <w:ilvl w:val="0"/>
          <w:numId w:val="0"/>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lang w:val="en-US" w:eastAsia="zh-CN"/>
        </w:rPr>
        <w:t>3、服务群众</w:t>
      </w:r>
      <w:r>
        <w:rPr>
          <w:rFonts w:hint="eastAsia" w:ascii="Times New Roman" w:hAnsi="Times New Roman" w:eastAsia="仿宋_GB2312" w:cs="Times New Roman"/>
        </w:rPr>
        <w:t>满意度调查</w:t>
      </w:r>
    </w:p>
    <w:p>
      <w:pPr>
        <w:pStyle w:val="2"/>
        <w:numPr>
          <w:ilvl w:val="0"/>
          <w:numId w:val="0"/>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lang w:val="en-US" w:eastAsia="zh-CN"/>
        </w:rPr>
        <w:t>服务群众</w:t>
      </w:r>
      <w:r>
        <w:rPr>
          <w:rFonts w:hint="eastAsia" w:ascii="Times New Roman" w:hAnsi="Times New Roman" w:eastAsia="仿宋_GB2312" w:cs="Times New Roman"/>
        </w:rPr>
        <w:t>满意度是衡量</w:t>
      </w:r>
      <w:r>
        <w:rPr>
          <w:rFonts w:hint="eastAsia" w:ascii="Times New Roman" w:hAnsi="Times New Roman" w:eastAsia="仿宋_GB2312" w:cs="Times New Roman"/>
          <w:lang w:eastAsia="zh-CN"/>
        </w:rPr>
        <w:t>房屋征收</w:t>
      </w:r>
      <w:r>
        <w:rPr>
          <w:rFonts w:hint="eastAsia" w:ascii="Times New Roman" w:hAnsi="Times New Roman" w:eastAsia="仿宋_GB2312" w:cs="Times New Roman"/>
        </w:rPr>
        <w:t>项目绩效的重要指标之一。我们通过问卷调查、座谈会等方式，了解</w:t>
      </w:r>
      <w:r>
        <w:rPr>
          <w:rFonts w:hint="eastAsia" w:ascii="Times New Roman" w:hAnsi="Times New Roman" w:eastAsia="仿宋_GB2312" w:cs="Times New Roman"/>
          <w:lang w:val="en-US" w:eastAsia="zh-CN"/>
        </w:rPr>
        <w:t>服务群众</w:t>
      </w:r>
      <w:r>
        <w:rPr>
          <w:rFonts w:hint="eastAsia" w:ascii="Times New Roman" w:hAnsi="Times New Roman" w:eastAsia="仿宋_GB2312" w:cs="Times New Roman"/>
        </w:rPr>
        <w:t>对项目的满意度和认可度。同时，对收集到的数据进行统计分析，找出存在的问题和不足，为今后的工作改进提供参考依据。</w:t>
      </w:r>
    </w:p>
    <w:p>
      <w:pPr>
        <w:pStyle w:val="2"/>
        <w:numPr>
          <w:ilvl w:val="0"/>
          <w:numId w:val="5"/>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评价人员组成。</w:t>
      </w:r>
    </w:p>
    <w:p>
      <w:pPr>
        <w:pStyle w:val="2"/>
        <w:numPr>
          <w:ilvl w:val="0"/>
          <w:numId w:val="0"/>
        </w:numPr>
        <w:spacing w:line="660" w:lineRule="exact"/>
        <w:ind w:right="125"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rPr>
        <w:t>评价工作由</w:t>
      </w:r>
      <w:r>
        <w:rPr>
          <w:rFonts w:hint="eastAsia" w:ascii="Times New Roman" w:hAnsi="Times New Roman" w:eastAsia="仿宋_GB2312" w:cs="Times New Roman"/>
          <w:lang w:eastAsia="zh-CN"/>
        </w:rPr>
        <w:t>我中心各科室科长</w:t>
      </w:r>
      <w:r>
        <w:rPr>
          <w:rFonts w:hint="eastAsia" w:ascii="Times New Roman" w:hAnsi="Times New Roman" w:eastAsia="仿宋_GB2312" w:cs="Times New Roman"/>
        </w:rPr>
        <w:t>共同完成，确保评价工作的科学性、准确性和公正性。团队成员包括绩效评价专家、项目专员、财务人员，各成员间紧密配合，形成了有力的工作合力。</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w:t>
      </w:r>
      <w:r>
        <w:rPr>
          <w:rFonts w:hint="eastAsia" w:ascii="Times New Roman" w:hAnsi="Times New Roman" w:eastAsia="仿宋_GB2312" w:cs="Times New Roman"/>
          <w:lang w:eastAsia="zh-CN"/>
        </w:rPr>
        <w:t>七</w:t>
      </w:r>
      <w:r>
        <w:rPr>
          <w:rFonts w:hint="eastAsia" w:ascii="Times New Roman" w:hAnsi="Times New Roman" w:eastAsia="仿宋_GB2312" w:cs="Times New Roman"/>
        </w:rPr>
        <w:t>）绩效评价过程。</w:t>
      </w:r>
    </w:p>
    <w:p>
      <w:pPr>
        <w:spacing w:line="660" w:lineRule="exact"/>
        <w:ind w:left="111" w:right="125" w:firstLine="639"/>
        <w:rPr>
          <w:rFonts w:hint="eastAsia" w:ascii="Times New Roman" w:hAnsi="Times New Roman" w:eastAsia="仿宋_GB2312" w:cs="Times New Roman"/>
        </w:rPr>
      </w:pPr>
      <w:r>
        <w:rPr>
          <w:rFonts w:hint="default" w:ascii="Times New Roman" w:hAnsi="Times New Roman" w:eastAsia="仿宋_GB2312" w:cs="Times New Roman"/>
          <w:kern w:val="2"/>
          <w:sz w:val="32"/>
          <w:szCs w:val="32"/>
          <w:lang w:val="en-US" w:eastAsia="zh-CN" w:bidi="ar-SA"/>
        </w:rPr>
        <w:t>为加强财政预算项目支出绩效评价工作，我单位召开了绩效评价专题会议，明确评价对象、评价工作目标及评价要求</w:t>
      </w:r>
      <w:r>
        <w:rPr>
          <w:rFonts w:hint="eastAsia" w:ascii="Times New Roman" w:hAnsi="Times New Roman" w:eastAsia="仿宋_GB2312" w:cs="Times New Roman"/>
          <w:kern w:val="2"/>
          <w:sz w:val="32"/>
          <w:szCs w:val="32"/>
          <w:lang w:val="en-US" w:eastAsia="zh-CN" w:bidi="ar-SA"/>
        </w:rPr>
        <w:t>；成立了</w:t>
      </w:r>
      <w:r>
        <w:rPr>
          <w:rFonts w:hint="default" w:ascii="Times New Roman" w:hAnsi="Times New Roman" w:eastAsia="仿宋_GB2312" w:cs="Times New Roman"/>
          <w:kern w:val="2"/>
          <w:sz w:val="32"/>
          <w:szCs w:val="32"/>
          <w:lang w:val="en-US" w:eastAsia="zh-CN" w:bidi="ar-SA"/>
        </w:rPr>
        <w:t>绩效评价工作小组，了解项目总体情况、绩效评价政策、评价标准，收集相关资料。通过查阅相关的财务会计报表、账簿、会计凭证，了解项目资金收支情况、项目资金到位情况、实际支出情况和财务管理状况；核实和统计相关数据资料，评价该项目预期目标实现情况。召开评价工作小组会议，组织讨论，评价打分，形成评价结论，提出存在问题、建议和意见，撰写评价报告。</w:t>
      </w:r>
    </w:p>
    <w:p>
      <w:pPr>
        <w:pStyle w:val="2"/>
        <w:spacing w:line="660" w:lineRule="exact"/>
        <w:ind w:left="753"/>
        <w:rPr>
          <w:rFonts w:ascii="黑体" w:eastAsia="黑体"/>
        </w:rPr>
      </w:pPr>
      <w:r>
        <w:rPr>
          <w:rFonts w:hint="eastAsia" w:ascii="黑体" w:eastAsia="黑体"/>
        </w:rPr>
        <w:t>四、评价结论及分析</w:t>
      </w:r>
      <w:r>
        <w:rPr>
          <w:rFonts w:hint="eastAsia" w:ascii="黑体" w:eastAsia="黑体"/>
          <w:lang w:val="en-US" w:eastAsia="zh-CN"/>
        </w:rPr>
        <w:t>（附相关评分表）</w:t>
      </w:r>
    </w:p>
    <w:p>
      <w:pPr>
        <w:spacing w:line="660" w:lineRule="exact"/>
        <w:ind w:left="111" w:right="125" w:firstLine="63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为了全面、客观、有效地进行绩效评价，评价工作小组深入与工作人员进行座谈并征求意见，查阅项目档案，对</w:t>
      </w:r>
      <w:r>
        <w:rPr>
          <w:rFonts w:hint="eastAsia" w:ascii="Times New Roman" w:hAnsi="Times New Roman" w:eastAsia="仿宋_GB2312" w:cs="Times New Roman"/>
          <w:kern w:val="2"/>
          <w:sz w:val="32"/>
          <w:szCs w:val="32"/>
          <w:lang w:val="en-US" w:eastAsia="zh-CN" w:bidi="ar-SA"/>
        </w:rPr>
        <w:t>秦州区东方红片区城市更新改造（棚户区改造）项目等项目</w:t>
      </w:r>
      <w:r>
        <w:rPr>
          <w:rFonts w:hint="default" w:ascii="Times New Roman" w:hAnsi="Times New Roman" w:eastAsia="仿宋_GB2312" w:cs="Times New Roman"/>
          <w:kern w:val="2"/>
          <w:sz w:val="32"/>
          <w:szCs w:val="32"/>
          <w:lang w:val="en-US" w:eastAsia="zh-CN" w:bidi="ar-SA"/>
        </w:rPr>
        <w:t>资金落实情况、业务管理、资金管理、财务管理、项目产出和项目效益等方面进行综合评价。</w:t>
      </w:r>
    </w:p>
    <w:p>
      <w:pPr>
        <w:spacing w:line="660" w:lineRule="exact"/>
        <w:ind w:left="111" w:right="125" w:firstLine="63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通过认真细致的准备、实施和分析，</w:t>
      </w:r>
      <w:r>
        <w:rPr>
          <w:rFonts w:hint="eastAsia" w:ascii="Times New Roman" w:hAnsi="Times New Roman" w:eastAsia="仿宋_GB2312" w:cs="Times New Roman"/>
          <w:kern w:val="2"/>
          <w:sz w:val="32"/>
          <w:szCs w:val="32"/>
          <w:lang w:val="en-US" w:eastAsia="zh-CN" w:bidi="ar-SA"/>
        </w:rPr>
        <w:t>秦州区东方红片区、罗玉小区片区、枣园村陈家庄片区城市更新改造项目</w:t>
      </w:r>
      <w:r>
        <w:rPr>
          <w:rFonts w:hint="default" w:ascii="Times New Roman" w:hAnsi="Times New Roman" w:eastAsia="仿宋_GB2312" w:cs="Times New Roman"/>
          <w:kern w:val="2"/>
          <w:sz w:val="32"/>
          <w:szCs w:val="32"/>
          <w:lang w:val="en-US" w:eastAsia="zh-CN" w:bidi="ar-SA"/>
        </w:rPr>
        <w:t>支出基本能按要求使用和分配专项资金，没有发现擅自调项、扩项、缩项的现象，做到了专款专用，审批程序基本规范，项目监督程序基本到位；组织机构和管理制度比较健全、基础资料相对齐全。但仍存在预算制度待完善、资金使用效率有待提高等情况。</w:t>
      </w:r>
    </w:p>
    <w:p>
      <w:pPr>
        <w:spacing w:line="660" w:lineRule="exact"/>
        <w:ind w:left="111" w:right="125" w:firstLine="63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绩效评价组从管理指标、产出指标、效益指标、项目管理和绩效情况等方面进行评价，综合评分为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分，评价等级为</w:t>
      </w:r>
      <w:r>
        <w:rPr>
          <w:rFonts w:hint="eastAsia" w:ascii="Times New Roman" w:hAnsi="Times New Roman" w:eastAsia="仿宋_GB2312" w:cs="Times New Roman"/>
          <w:kern w:val="2"/>
          <w:sz w:val="32"/>
          <w:szCs w:val="32"/>
          <w:lang w:val="en-US" w:eastAsia="zh-CN" w:bidi="ar-SA"/>
        </w:rPr>
        <w:t>优秀</w:t>
      </w:r>
      <w:r>
        <w:rPr>
          <w:rFonts w:hint="default" w:ascii="Times New Roman" w:hAnsi="Times New Roman" w:eastAsia="仿宋_GB2312" w:cs="Times New Roman"/>
          <w:kern w:val="2"/>
          <w:sz w:val="32"/>
          <w:szCs w:val="32"/>
          <w:lang w:val="en-US" w:eastAsia="zh-CN" w:bidi="ar-SA"/>
        </w:rPr>
        <w:t>。</w:t>
      </w:r>
    </w:p>
    <w:p>
      <w:pPr>
        <w:pStyle w:val="2"/>
        <w:spacing w:line="660" w:lineRule="exact"/>
        <w:ind w:left="753"/>
        <w:rPr>
          <w:rFonts w:ascii="黑体" w:eastAsia="黑体"/>
        </w:rPr>
      </w:pPr>
      <w:r>
        <w:rPr>
          <w:rFonts w:hint="eastAsia" w:ascii="黑体" w:eastAsia="黑体"/>
        </w:rPr>
        <w:t>五、绩效评价指标分析</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（一）项目决策情况。</w:t>
      </w:r>
    </w:p>
    <w:p>
      <w:pPr>
        <w:spacing w:line="660" w:lineRule="exact"/>
        <w:ind w:left="111" w:right="125" w:firstLine="63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秦州区东方红片区、罗玉小区片区、枣园村陈家庄片区城市更新改造</w:t>
      </w:r>
      <w:r>
        <w:rPr>
          <w:rFonts w:hint="default" w:ascii="Times New Roman" w:hAnsi="Times New Roman" w:eastAsia="仿宋_GB2312" w:cs="Times New Roman"/>
          <w:kern w:val="2"/>
          <w:sz w:val="32"/>
          <w:szCs w:val="32"/>
          <w:lang w:val="en-US" w:eastAsia="zh-CN" w:bidi="ar-SA"/>
        </w:rPr>
        <w:t>项目立项符合国家法律法规、国民经济发展规划和相关政策；</w:t>
      </w:r>
      <w:r>
        <w:rPr>
          <w:rFonts w:hint="eastAsia" w:ascii="Times New Roman" w:hAnsi="Times New Roman" w:eastAsia="仿宋_GB2312" w:cs="Times New Roman"/>
          <w:kern w:val="2"/>
          <w:sz w:val="32"/>
          <w:szCs w:val="32"/>
          <w:lang w:val="en-US" w:eastAsia="zh-CN" w:bidi="ar-SA"/>
        </w:rPr>
        <w:t>项目</w:t>
      </w:r>
      <w:r>
        <w:rPr>
          <w:rFonts w:hint="default" w:ascii="Times New Roman" w:hAnsi="Times New Roman" w:eastAsia="仿宋_GB2312" w:cs="Times New Roman"/>
          <w:kern w:val="2"/>
          <w:sz w:val="32"/>
          <w:szCs w:val="32"/>
          <w:lang w:val="en-US" w:eastAsia="zh-CN" w:bidi="ar-SA"/>
        </w:rPr>
        <w:t>执行较规范，资金管理制度健全，审批程序和手续完整</w:t>
      </w:r>
      <w:r>
        <w:rPr>
          <w:rFonts w:hint="eastAsia" w:ascii="Times New Roman" w:hAnsi="Times New Roman" w:eastAsia="仿宋_GB2312" w:cs="Times New Roman"/>
          <w:kern w:val="2"/>
          <w:sz w:val="32"/>
          <w:szCs w:val="32"/>
          <w:lang w:val="en-US" w:eastAsia="zh-CN" w:bidi="ar-SA"/>
        </w:rPr>
        <w:t>。</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（二）项目过程情况。</w:t>
      </w:r>
    </w:p>
    <w:p>
      <w:pPr>
        <w:spacing w:line="660" w:lineRule="exact"/>
        <w:ind w:left="111" w:right="125" w:firstLine="639"/>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该项目绩效目标明确，分配合理，资金到位。项目组织实施制度建全，执行</w:t>
      </w:r>
      <w:r>
        <w:rPr>
          <w:rFonts w:hint="eastAsia" w:ascii="Times New Roman" w:hAnsi="Times New Roman" w:eastAsia="仿宋_GB2312" w:cs="Times New Roman"/>
          <w:kern w:val="2"/>
          <w:sz w:val="32"/>
          <w:szCs w:val="32"/>
          <w:lang w:val="en-US" w:eastAsia="zh-CN" w:bidi="ar-SA"/>
        </w:rPr>
        <w:t>率明显提高</w:t>
      </w:r>
      <w:r>
        <w:rPr>
          <w:rFonts w:hint="default" w:ascii="Times New Roman" w:hAnsi="Times New Roman" w:eastAsia="仿宋_GB2312" w:cs="Times New Roman"/>
          <w:kern w:val="2"/>
          <w:sz w:val="32"/>
          <w:szCs w:val="32"/>
          <w:lang w:val="en-US" w:eastAsia="zh-CN" w:bidi="ar-SA"/>
        </w:rPr>
        <w:t>。</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（三）项目产出情况。</w:t>
      </w:r>
    </w:p>
    <w:p>
      <w:pPr>
        <w:numPr>
          <w:ilvl w:val="0"/>
          <w:numId w:val="0"/>
        </w:numPr>
        <w:spacing w:line="660" w:lineRule="exact"/>
        <w:ind w:right="125"/>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 xml:space="preserve">     项目产出情况，实施拆迁总面积约425000㎡，签订协议约4113户，其中：东方红（南、北）、罗玉小区（北、东、西）已全面完成征收工作。</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（四）项目效益情况。</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项目效益方面，对评价指标体系各项指标的分析，基本完成了202</w:t>
      </w:r>
      <w:r>
        <w:rPr>
          <w:rFonts w:hint="eastAsia" w:ascii="Times New Roman" w:hAnsi="Times New Roman" w:eastAsia="仿宋_GB2312" w:cs="Times New Roman"/>
          <w:lang w:val="en-US" w:eastAsia="zh-CN"/>
        </w:rPr>
        <w:t>1</w:t>
      </w:r>
      <w:r>
        <w:rPr>
          <w:rFonts w:hint="eastAsia" w:ascii="Times New Roman" w:hAnsi="Times New Roman" w:eastAsia="仿宋_GB2312" w:cs="Times New Roman"/>
        </w:rPr>
        <w:t>年度</w:t>
      </w:r>
      <w:r>
        <w:rPr>
          <w:rFonts w:hint="eastAsia" w:ascii="Times New Roman" w:hAnsi="Times New Roman" w:eastAsia="仿宋_GB2312" w:cs="Times New Roman"/>
          <w:kern w:val="2"/>
          <w:sz w:val="32"/>
          <w:szCs w:val="32"/>
          <w:lang w:val="en-US" w:eastAsia="zh-CN" w:bidi="ar-SA"/>
        </w:rPr>
        <w:t>秦州区东方红片区城市更新改造（棚户区改造）项目等项目</w:t>
      </w:r>
      <w:r>
        <w:rPr>
          <w:rFonts w:hint="eastAsia" w:ascii="Times New Roman" w:hAnsi="Times New Roman" w:eastAsia="仿宋_GB2312" w:cs="Times New Roman"/>
        </w:rPr>
        <w:t>预期目标。目前本项目已基本完成</w:t>
      </w:r>
      <w:r>
        <w:rPr>
          <w:rFonts w:hint="eastAsia" w:ascii="Times New Roman" w:hAnsi="Times New Roman" w:eastAsia="仿宋_GB2312" w:cs="Times New Roman"/>
          <w:lang w:eastAsia="zh-CN"/>
        </w:rPr>
        <w:t>房屋</w:t>
      </w:r>
      <w:r>
        <w:rPr>
          <w:rFonts w:hint="eastAsia" w:ascii="Times New Roman" w:hAnsi="Times New Roman" w:eastAsia="仿宋_GB2312" w:cs="Times New Roman"/>
        </w:rPr>
        <w:t>征收</w:t>
      </w:r>
      <w:r>
        <w:rPr>
          <w:rFonts w:hint="eastAsia" w:ascii="Times New Roman" w:hAnsi="Times New Roman" w:eastAsia="仿宋_GB2312" w:cs="Times New Roman"/>
          <w:lang w:eastAsia="zh-CN"/>
        </w:rPr>
        <w:t>协议签订</w:t>
      </w:r>
      <w:r>
        <w:rPr>
          <w:rFonts w:hint="eastAsia" w:ascii="Times New Roman" w:hAnsi="Times New Roman" w:eastAsia="仿宋_GB2312" w:cs="Times New Roman"/>
        </w:rPr>
        <w:t>工作，推进项目进展,土地得到合理规划使用，人民群众安居环境大幅改善，切实贯彻各项惠民政策，使拆迁群众的合法利益得到充分保障。</w:t>
      </w:r>
    </w:p>
    <w:p>
      <w:pPr>
        <w:pStyle w:val="2"/>
        <w:spacing w:line="660" w:lineRule="exact"/>
        <w:ind w:left="753"/>
        <w:rPr>
          <w:rFonts w:hint="eastAsia" w:ascii="黑体" w:eastAsia="黑体"/>
        </w:rPr>
      </w:pPr>
      <w:r>
        <w:rPr>
          <w:rFonts w:hint="eastAsia" w:ascii="黑体" w:eastAsia="黑体"/>
        </w:rPr>
        <w:t>六、项目主要经验及做法</w:t>
      </w:r>
    </w:p>
    <w:p>
      <w:pPr>
        <w:pStyle w:val="2"/>
        <w:spacing w:line="660" w:lineRule="exact"/>
        <w:ind w:left="111" w:right="125" w:firstLine="639"/>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严格按照有关法律法规及《天水市人民政府办公室关于印发</w:t>
      </w:r>
      <w:r>
        <w:rPr>
          <w:rFonts w:hint="eastAsia" w:ascii="Times New Roman" w:hAnsi="Times New Roman" w:eastAsia="仿宋_GB2312" w:cs="Times New Roman"/>
          <w:lang w:val="en-US" w:eastAsia="zh-CN"/>
        </w:rPr>
        <w:t>&lt;天水市国有土地上房屋征收与补偿实施办法》的通知进行房屋的征收与补偿</w:t>
      </w:r>
      <w:r>
        <w:rPr>
          <w:rFonts w:hint="eastAsia" w:ascii="Times New Roman" w:hAnsi="Times New Roman" w:eastAsia="仿宋_GB2312" w:cs="Times New Roman"/>
          <w:lang w:eastAsia="zh-CN"/>
        </w:rPr>
        <w:t>工作。</w:t>
      </w:r>
    </w:p>
    <w:p>
      <w:pPr>
        <w:pStyle w:val="2"/>
        <w:spacing w:line="660" w:lineRule="exact"/>
        <w:ind w:left="111" w:right="125" w:firstLine="639"/>
        <w:rPr>
          <w:rFonts w:hint="eastAsia" w:ascii="黑体" w:eastAsia="黑体"/>
        </w:rPr>
      </w:pPr>
      <w:r>
        <w:rPr>
          <w:rFonts w:hint="eastAsia" w:ascii="黑体" w:eastAsia="黑体"/>
        </w:rPr>
        <w:t>七、存在的问题及原因分析</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征地拆迁项目的实施虽取得了一些成绩，但同时也存在一些问题，主要表现在以下几方面：</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（一）项目资料不完善</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在收集资料过程中发现，多数项目资料不够完整，原因系该单位成立时间不长，</w:t>
      </w:r>
      <w:r>
        <w:rPr>
          <w:rFonts w:hint="eastAsia" w:ascii="Times New Roman" w:hAnsi="Times New Roman" w:eastAsia="仿宋_GB2312" w:cs="Times New Roman"/>
          <w:lang w:eastAsia="zh-CN"/>
        </w:rPr>
        <w:t>前期工作人员多属其他单位借调人员，在回原单位前</w:t>
      </w:r>
      <w:r>
        <w:rPr>
          <w:rFonts w:hint="eastAsia" w:ascii="Times New Roman" w:hAnsi="Times New Roman" w:eastAsia="仿宋_GB2312" w:cs="Times New Roman"/>
        </w:rPr>
        <w:t>移交</w:t>
      </w:r>
      <w:r>
        <w:rPr>
          <w:rFonts w:hint="eastAsia" w:ascii="Times New Roman" w:hAnsi="Times New Roman" w:eastAsia="仿宋_GB2312" w:cs="Times New Roman"/>
          <w:lang w:eastAsia="zh-CN"/>
        </w:rPr>
        <w:t>时</w:t>
      </w:r>
      <w:r>
        <w:rPr>
          <w:rFonts w:hint="eastAsia" w:ascii="Times New Roman" w:hAnsi="Times New Roman" w:eastAsia="仿宋_GB2312" w:cs="Times New Roman"/>
        </w:rPr>
        <w:t>并未给提供给</w:t>
      </w:r>
      <w:r>
        <w:rPr>
          <w:rFonts w:hint="eastAsia" w:ascii="Times New Roman" w:hAnsi="Times New Roman" w:eastAsia="仿宋_GB2312" w:cs="Times New Roman"/>
          <w:lang w:eastAsia="zh-CN"/>
        </w:rPr>
        <w:t>我中心</w:t>
      </w:r>
      <w:r>
        <w:rPr>
          <w:rFonts w:hint="eastAsia" w:ascii="Times New Roman" w:hAnsi="Times New Roman" w:eastAsia="仿宋_GB2312" w:cs="Times New Roman"/>
        </w:rPr>
        <w:t>，因此造成项目资料的欠缺。</w:t>
      </w:r>
    </w:p>
    <w:p>
      <w:pPr>
        <w:pStyle w:val="2"/>
        <w:numPr>
          <w:ilvl w:val="0"/>
          <w:numId w:val="6"/>
        </w:numPr>
        <w:spacing w:line="660" w:lineRule="exact"/>
        <w:ind w:left="111" w:right="125" w:firstLine="639"/>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预算执行率太差</w:t>
      </w:r>
    </w:p>
    <w:p>
      <w:pPr>
        <w:pStyle w:val="2"/>
        <w:spacing w:line="660" w:lineRule="exact"/>
        <w:ind w:left="111" w:right="125" w:firstLine="639"/>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因部门整体支出的预算资金安排和使用上仍有不可预见性及财政资金紧张，导致预算执行率低。</w:t>
      </w:r>
    </w:p>
    <w:p>
      <w:pPr>
        <w:pStyle w:val="2"/>
        <w:numPr>
          <w:ilvl w:val="0"/>
          <w:numId w:val="0"/>
        </w:numPr>
        <w:spacing w:line="660" w:lineRule="exact"/>
        <w:ind w:left="750" w:leftChars="0" w:right="125"/>
        <w:rPr>
          <w:rFonts w:ascii="黑体" w:eastAsia="黑体"/>
        </w:rPr>
      </w:pPr>
      <w:r>
        <w:rPr>
          <w:rFonts w:hint="eastAsia" w:ascii="Times New Roman" w:hAnsi="Times New Roman" w:eastAsia="仿宋_GB2312" w:cs="Times New Roman"/>
        </w:rPr>
        <w:t>八</w:t>
      </w:r>
      <w:r>
        <w:rPr>
          <w:rFonts w:hint="eastAsia" w:ascii="黑体" w:eastAsia="黑体"/>
        </w:rPr>
        <w:t>、有关建议</w:t>
      </w:r>
    </w:p>
    <w:p>
      <w:pPr>
        <w:pStyle w:val="2"/>
        <w:spacing w:line="660" w:lineRule="exact"/>
        <w:ind w:left="111" w:right="125" w:firstLine="639"/>
        <w:rPr>
          <w:rFonts w:hint="eastAsia" w:ascii="仿宋_GB2312" w:hAnsi="Times New Roman" w:eastAsia="仿宋_GB2312" w:cs="Times New Roman"/>
        </w:rPr>
      </w:pPr>
      <w:r>
        <w:rPr>
          <w:rFonts w:hint="eastAsia" w:ascii="仿宋_GB2312" w:hAnsi="Times New Roman" w:eastAsia="仿宋_GB2312" w:cs="Times New Roman"/>
        </w:rPr>
        <w:t>（一）完善资料，做到分类归档</w:t>
      </w:r>
    </w:p>
    <w:p>
      <w:pPr>
        <w:pStyle w:val="2"/>
        <w:spacing w:line="660" w:lineRule="exact"/>
        <w:ind w:left="111" w:right="125" w:firstLine="639"/>
        <w:rPr>
          <w:rFonts w:hint="eastAsia" w:ascii="仿宋_GB2312" w:hAnsi="Times New Roman" w:eastAsia="仿宋_GB2312" w:cs="Times New Roman"/>
        </w:rPr>
      </w:pPr>
      <w:r>
        <w:rPr>
          <w:rFonts w:hint="eastAsia" w:ascii="仿宋_GB2312" w:hAnsi="Times New Roman" w:eastAsia="仿宋_GB2312" w:cs="Times New Roman"/>
        </w:rPr>
        <w:t>集中事权，新的拆迁项目建议</w:t>
      </w:r>
      <w:r>
        <w:rPr>
          <w:rFonts w:hint="eastAsia" w:ascii="仿宋_GB2312" w:hAnsi="Times New Roman" w:eastAsia="仿宋_GB2312" w:cs="Times New Roman"/>
          <w:lang w:eastAsia="zh-CN"/>
        </w:rPr>
        <w:t>市</w:t>
      </w:r>
      <w:r>
        <w:rPr>
          <w:rFonts w:hint="eastAsia" w:ascii="仿宋_GB2312" w:hAnsi="Times New Roman" w:eastAsia="仿宋_GB2312" w:cs="Times New Roman"/>
        </w:rPr>
        <w:t>政府授权于</w:t>
      </w:r>
      <w:r>
        <w:rPr>
          <w:rFonts w:hint="eastAsia" w:ascii="仿宋_GB2312" w:hAnsi="Times New Roman" w:eastAsia="仿宋_GB2312" w:cs="Times New Roman"/>
          <w:lang w:eastAsia="zh-CN"/>
        </w:rPr>
        <w:t>我中心</w:t>
      </w:r>
      <w:r>
        <w:rPr>
          <w:rFonts w:hint="eastAsia" w:ascii="仿宋_GB2312" w:hAnsi="Times New Roman" w:eastAsia="仿宋_GB2312" w:cs="Times New Roman"/>
        </w:rPr>
        <w:t>统一实施，避免参与方过多导致的资料整理不完整的情况。</w:t>
      </w:r>
    </w:p>
    <w:p>
      <w:pPr>
        <w:pStyle w:val="2"/>
        <w:spacing w:line="660" w:lineRule="exact"/>
        <w:ind w:left="111" w:right="125" w:firstLine="639"/>
        <w:rPr>
          <w:rFonts w:hint="eastAsia" w:ascii="Times New Roman" w:hAnsi="Times New Roman" w:eastAsia="仿宋_GB2312" w:cs="Times New Roman"/>
          <w:lang w:eastAsia="zh-CN"/>
        </w:rPr>
      </w:pPr>
      <w:r>
        <w:rPr>
          <w:rFonts w:hint="eastAsia" w:ascii="仿宋_GB2312" w:hAnsi="Times New Roman" w:eastAsia="仿宋_GB2312" w:cs="Times New Roman"/>
        </w:rPr>
        <w:t>（</w:t>
      </w:r>
      <w:r>
        <w:rPr>
          <w:rFonts w:hint="eastAsia" w:ascii="仿宋_GB2312" w:hAnsi="Times New Roman" w:eastAsia="仿宋_GB2312" w:cs="Times New Roman"/>
          <w:lang w:eastAsia="zh-CN"/>
        </w:rPr>
        <w:t>二</w:t>
      </w:r>
      <w:r>
        <w:rPr>
          <w:rFonts w:hint="eastAsia" w:ascii="仿宋_GB2312" w:hAnsi="Times New Roman" w:eastAsia="仿宋_GB2312" w:cs="Times New Roman"/>
        </w:rPr>
        <w:t>）</w:t>
      </w:r>
      <w:r>
        <w:rPr>
          <w:rFonts w:hint="eastAsia" w:ascii="Times New Roman" w:hAnsi="Times New Roman" w:eastAsia="仿宋_GB2312" w:cs="Times New Roman"/>
          <w:lang w:eastAsia="zh-CN"/>
        </w:rPr>
        <w:t>加强预算管理、严格预算执行，科学编制预算。及时催促经费支出的审核报销工作，如期实现财政全年支出任务。</w:t>
      </w:r>
    </w:p>
    <w:p>
      <w:pPr>
        <w:pStyle w:val="2"/>
        <w:tabs>
          <w:tab w:val="center" w:pos="4153"/>
        </w:tabs>
        <w:spacing w:line="660" w:lineRule="exact"/>
        <w:ind w:left="111" w:right="125" w:firstLine="639"/>
        <w:rPr>
          <w:rFonts w:hint="eastAsia" w:ascii="黑体" w:hAnsi="黑体" w:eastAsia="黑体" w:cs="Times New Roman"/>
          <w:lang w:eastAsia="zh-CN"/>
        </w:rPr>
      </w:pPr>
      <w:r>
        <w:rPr>
          <w:rFonts w:hint="eastAsia" w:ascii="黑体" w:hAnsi="黑体" w:eastAsia="黑体" w:cs="Times New Roman"/>
        </w:rPr>
        <w:t>九、需要说明的问题</w:t>
      </w:r>
      <w:r>
        <w:rPr>
          <w:rFonts w:hint="eastAsia" w:ascii="黑体" w:hAnsi="黑体" w:eastAsia="黑体" w:cs="Times New Roman"/>
          <w:lang w:eastAsia="zh-CN"/>
        </w:rPr>
        <w:tab/>
      </w:r>
    </w:p>
    <w:p>
      <w:pPr>
        <w:pStyle w:val="2"/>
        <w:spacing w:line="660" w:lineRule="exact"/>
        <w:ind w:left="111" w:right="125" w:firstLine="639"/>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无</w:t>
      </w:r>
    </w:p>
    <w:p/>
    <w:sectPr>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3" o:spid="_x0000_s2053"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6E200"/>
    <w:multiLevelType w:val="singleLevel"/>
    <w:tmpl w:val="8F16E200"/>
    <w:lvl w:ilvl="0" w:tentative="0">
      <w:start w:val="1"/>
      <w:numFmt w:val="decimal"/>
      <w:suff w:val="nothing"/>
      <w:lvlText w:val="%1、"/>
      <w:lvlJc w:val="left"/>
    </w:lvl>
  </w:abstractNum>
  <w:abstractNum w:abstractNumId="1">
    <w:nsid w:val="62C4123C"/>
    <w:multiLevelType w:val="singleLevel"/>
    <w:tmpl w:val="62C4123C"/>
    <w:lvl w:ilvl="0" w:tentative="0">
      <w:start w:val="2"/>
      <w:numFmt w:val="chineseCounting"/>
      <w:suff w:val="nothing"/>
      <w:lvlText w:val="（%1）"/>
      <w:lvlJc w:val="left"/>
    </w:lvl>
  </w:abstractNum>
  <w:abstractNum w:abstractNumId="2">
    <w:nsid w:val="664F0240"/>
    <w:multiLevelType w:val="singleLevel"/>
    <w:tmpl w:val="664F0240"/>
    <w:lvl w:ilvl="0" w:tentative="0">
      <w:start w:val="2"/>
      <w:numFmt w:val="chineseCounting"/>
      <w:suff w:val="nothing"/>
      <w:lvlText w:val="（%1）"/>
      <w:lvlJc w:val="left"/>
    </w:lvl>
  </w:abstractNum>
  <w:abstractNum w:abstractNumId="3">
    <w:nsid w:val="664F0289"/>
    <w:multiLevelType w:val="singleLevel"/>
    <w:tmpl w:val="664F0289"/>
    <w:lvl w:ilvl="0" w:tentative="0">
      <w:start w:val="3"/>
      <w:numFmt w:val="chineseCounting"/>
      <w:suff w:val="nothing"/>
      <w:lvlText w:val="（%1）"/>
      <w:lvlJc w:val="left"/>
    </w:lvl>
  </w:abstractNum>
  <w:abstractNum w:abstractNumId="4">
    <w:nsid w:val="664F02BB"/>
    <w:multiLevelType w:val="singleLevel"/>
    <w:tmpl w:val="664F02BB"/>
    <w:lvl w:ilvl="0" w:tentative="0">
      <w:start w:val="4"/>
      <w:numFmt w:val="chineseCounting"/>
      <w:suff w:val="nothing"/>
      <w:lvlText w:val="（%1）"/>
      <w:lvlJc w:val="left"/>
    </w:lvl>
  </w:abstractNum>
  <w:abstractNum w:abstractNumId="5">
    <w:nsid w:val="664F07EA"/>
    <w:multiLevelType w:val="singleLevel"/>
    <w:tmpl w:val="664F07EA"/>
    <w:lvl w:ilvl="0" w:tentative="0">
      <w:start w:val="6"/>
      <w:numFmt w:val="chineseCounting"/>
      <w:suff w:val="nothing"/>
      <w:lvlText w:val="（%1）"/>
      <w:lvlJc w:val="left"/>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Y0YzYzZWE2MWEyNWI4YzgxZmYwZGMxZmQ3ZmRhMjcifQ=="/>
  </w:docVars>
  <w:rsids>
    <w:rsidRoot w:val="00000000"/>
    <w:rsid w:val="4902660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qFormat/>
    <w:uiPriority w:val="0"/>
    <w:rPr>
      <w:rFonts w:ascii="Times New Roman" w:hAnsi="Times New Roman" w:eastAsia="宋体" w:cs="Times New Roman"/>
    </w:rPr>
  </w:style>
  <w:style w:type="paragraph" w:customStyle="1" w:styleId="8">
    <w:name w:val="样式2"/>
    <w:basedOn w:val="1"/>
    <w:qFormat/>
    <w:uiPriority w:val="0"/>
    <w:pPr>
      <w:ind w:firstLine="435"/>
    </w:pPr>
    <w:rPr>
      <w:rFonts w:ascii="仿宋" w:hAnsi="仿宋" w:eastAsia="仿宋_GB2312" w:cs="Times New Roman"/>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textRotate="1"/>
    <customShpInfo spid="_x0000_s2052" textRotate="1"/>
    <customShpInfo spid="_x0000_s205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3515</Words>
  <Characters>3574</Characters>
  <Lines>0</Lines>
  <Paragraphs>0</Paragraphs>
  <TotalTime>5</TotalTime>
  <ScaleCrop>false</ScaleCrop>
  <LinksUpToDate>false</LinksUpToDate>
  <CharactersWithSpaces>3698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2022-07-01T09:18:00Z</dcterms:created>
  <dc:creator>重振钟华馨</dc:creator>
  <cp:lastModifiedBy>Administrator</cp:lastModifiedBy>
  <cp:lastPrinted>2024-05-24T07:49:58Z</cp:lastPrinted>
  <dcterms:modified xsi:type="dcterms:W3CDTF">2024-05-24T07:54:57Z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A9AF18C56FC44B319687A28499A41FD6</vt:lpwstr>
  </property>
</Properties>
</file>