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AF51F">
      <w:pPr>
        <w:spacing w:line="400" w:lineRule="exact"/>
        <w:jc w:val="center"/>
        <w:rPr>
          <w:rFonts w:ascii="仿宋_GB2312" w:hAnsi="宋体" w:eastAsia="仿宋_GB2312" w:cs="宋体"/>
          <w:color w:val="FF0000"/>
          <w:sz w:val="32"/>
          <w:szCs w:val="32"/>
        </w:rPr>
      </w:pPr>
    </w:p>
    <w:p w14:paraId="0C01BBFF">
      <w:pPr>
        <w:spacing w:line="70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2023年度市级预算执行情况绩效自评报告</w:t>
      </w:r>
    </w:p>
    <w:p w14:paraId="777B402A">
      <w:pPr>
        <w:spacing w:line="500" w:lineRule="exact"/>
        <w:rPr>
          <w:rFonts w:ascii="仿宋_GB2312" w:hAnsi="仿宋_GB2312" w:eastAsia="仿宋_GB2312" w:cs="仿宋_GB2312"/>
          <w:sz w:val="32"/>
          <w:szCs w:val="32"/>
        </w:rPr>
      </w:pPr>
    </w:p>
    <w:p w14:paraId="413365CA">
      <w:pPr>
        <w:overflowPunct w:val="0"/>
        <w:spacing w:line="576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一、基本情况</w:t>
      </w:r>
    </w:p>
    <w:p w14:paraId="55048407">
      <w:pPr>
        <w:overflowPunct w:val="0"/>
        <w:spacing w:line="576" w:lineRule="exact"/>
        <w:jc w:val="left"/>
        <w:rPr>
          <w:rFonts w:hint="eastAsia" w:ascii="Times New Roman" w:hAnsi="仿宋_GB2312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hint="eastAsia" w:ascii="Times New Roman" w:hAnsi="仿宋_GB2312" w:eastAsia="仿宋_GB2312"/>
          <w:sz w:val="32"/>
          <w:szCs w:val="32"/>
        </w:rPr>
        <w:t>（一）部门（单位）主要职能。</w:t>
      </w:r>
    </w:p>
    <w:p w14:paraId="6CA8F7CB">
      <w:pPr>
        <w:overflowPunct w:val="0"/>
        <w:spacing w:line="576" w:lineRule="exact"/>
        <w:ind w:firstLine="560" w:firstLineChars="200"/>
        <w:jc w:val="left"/>
        <w:rPr>
          <w:rFonts w:hint="eastAsia" w:ascii="Times New Roman" w:hAnsi="仿宋_GB2312" w:eastAsia="仿宋_GB2312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贯彻执行国家财政、税收、行政事业单位和企业国有资产管法规、制度和方针、政策；负责制定全市财政发展战略、中长期计划、政策和改革方案并组织实施，参与全市宏观经济政策的制定工作；负责管理市级各项财政收支；制定和实施全市国库管理制度、国库集中收付制度，制定全市政府采购制度，负责全市政府采购管理工作；管理市级财政社会保障和就业及医疗卫生支出，贯彻执行会计法规和制度等。</w:t>
      </w:r>
    </w:p>
    <w:p w14:paraId="2F67E230">
      <w:pPr>
        <w:numPr>
          <w:ilvl w:val="0"/>
          <w:numId w:val="0"/>
        </w:numPr>
        <w:overflowPunct w:val="0"/>
        <w:spacing w:line="576" w:lineRule="exact"/>
        <w:ind w:left="480" w:leftChars="0" w:firstLine="0" w:firstLineChars="0"/>
        <w:jc w:val="left"/>
        <w:rPr>
          <w:rFonts w:hint="eastAsia" w:ascii="Times New Roman" w:hAnsi="仿宋_GB2312" w:eastAsia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kern w:val="2"/>
          <w:sz w:val="32"/>
          <w:szCs w:val="32"/>
          <w:lang w:val="en-US" w:eastAsia="zh-CN" w:bidi="ar-SA"/>
        </w:rPr>
        <w:t>（二）</w:t>
      </w:r>
      <w:r>
        <w:rPr>
          <w:rFonts w:hint="eastAsia" w:ascii="Times New Roman" w:hAnsi="仿宋_GB2312" w:eastAsia="仿宋_GB2312"/>
          <w:sz w:val="32"/>
          <w:szCs w:val="32"/>
        </w:rPr>
        <w:t>内设机构及所属单位概况。</w:t>
      </w:r>
    </w:p>
    <w:p w14:paraId="28B363CF">
      <w:pPr>
        <w:numPr>
          <w:ilvl w:val="0"/>
          <w:numId w:val="0"/>
        </w:numPr>
        <w:overflowPunct w:val="0"/>
        <w:spacing w:line="576" w:lineRule="exact"/>
        <w:ind w:firstLine="560" w:firstLineChars="200"/>
        <w:jc w:val="lef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天水市财政局内设及归口管理机构有：办公室、综合科、预算科、国库科、政府采购管理科、行政政法科、教育事业科、科技文化科、经济建设科、农业科、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资源环境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科、社会保障科、金融债务科、国际科、信息科、会计科、绩效评价科、资产管理科、监察科、人事教育科等2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个机构。四个下属单位：一天水市投资评审中心、二天水市投融资管理中心、三天水市国库中心、四天水市预算审核中心。</w:t>
      </w:r>
    </w:p>
    <w:p w14:paraId="150FD3CA">
      <w:pPr>
        <w:overflowPunct w:val="0"/>
        <w:spacing w:line="576" w:lineRule="exact"/>
        <w:ind w:firstLine="640" w:firstLineChars="200"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ascii="黑体" w:hAnsi="黑体" w:eastAsia="黑体" w:cs="仿宋_GB2312"/>
          <w:sz w:val="32"/>
          <w:szCs w:val="32"/>
        </w:rPr>
        <w:t>二、绩效自评工作组织开展情况</w:t>
      </w:r>
    </w:p>
    <w:p w14:paraId="4071B82E">
      <w:pPr>
        <w:overflowPunct w:val="0"/>
        <w:spacing w:line="576" w:lineRule="exact"/>
        <w:ind w:firstLine="560" w:firstLineChars="200"/>
        <w:jc w:val="lef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我单位组织单位会计、出纳、办公室人员，积极开展督促落实此项工作。对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本年度待评价的11个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项目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从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资金、时间及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内容等方面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等明确了主体责任，规范了工作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标准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，确保工作有序开展。</w:t>
      </w:r>
    </w:p>
    <w:p w14:paraId="57B9E616">
      <w:pPr>
        <w:overflowPunct w:val="0"/>
        <w:spacing w:line="576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三、部门</w:t>
      </w:r>
      <w:r>
        <w:rPr>
          <w:rFonts w:hint="eastAsia" w:ascii="黑体" w:hAnsi="黑体" w:eastAsia="黑体"/>
          <w:sz w:val="32"/>
          <w:szCs w:val="32"/>
        </w:rPr>
        <w:t>（单位）整体支出绩效自评情况分析</w:t>
      </w:r>
      <w:r>
        <w:rPr>
          <w:rFonts w:ascii="黑体" w:hAnsi="黑体" w:eastAsia="黑体"/>
          <w:sz w:val="32"/>
          <w:szCs w:val="32"/>
        </w:rPr>
        <w:tab/>
      </w:r>
    </w:p>
    <w:p w14:paraId="713371EE">
      <w:pPr>
        <w:overflowPunct w:val="0"/>
        <w:spacing w:line="576" w:lineRule="exact"/>
        <w:jc w:val="left"/>
        <w:rPr>
          <w:rFonts w:ascii="Times New Roman" w:hAnsi="仿宋_GB2312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</w:t>
      </w:r>
      <w:r>
        <w:rPr>
          <w:rFonts w:ascii="Times New Roman" w:hAnsi="仿宋_GB2312" w:eastAsia="仿宋_GB2312"/>
          <w:sz w:val="32"/>
          <w:szCs w:val="32"/>
        </w:rPr>
        <w:t>（一）部门</w:t>
      </w:r>
      <w:r>
        <w:rPr>
          <w:rFonts w:hint="eastAsia" w:ascii="Times New Roman" w:hAnsi="仿宋_GB2312" w:eastAsia="仿宋_GB2312"/>
          <w:sz w:val="32"/>
          <w:szCs w:val="32"/>
        </w:rPr>
        <w:t>（单位）</w:t>
      </w:r>
      <w:r>
        <w:rPr>
          <w:rFonts w:ascii="Times New Roman" w:hAnsi="仿宋_GB2312" w:eastAsia="仿宋_GB2312"/>
          <w:sz w:val="32"/>
          <w:szCs w:val="32"/>
        </w:rPr>
        <w:t>决算情况。</w:t>
      </w:r>
    </w:p>
    <w:p w14:paraId="08F21EAA">
      <w:pPr>
        <w:overflowPunct w:val="0"/>
        <w:spacing w:line="576" w:lineRule="exact"/>
        <w:ind w:firstLine="560" w:firstLineChars="200"/>
        <w:jc w:val="left"/>
        <w:rPr>
          <w:rFonts w:ascii="Times New Roman" w:hAnsi="仿宋_GB2312" w:eastAsia="仿宋_GB2312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年度决算依据本单位登记完整、核对无误的账簿记录和其他有关会计核算资料编制，账证相符、账实相符、账表相符、表表相符，真实、准确、完整地反映了本单位预算执行结果和财务状况。202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年财政决算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支出4277.47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（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其中：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基本支出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2120.61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万，项目支出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2156.86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万）。</w:t>
      </w:r>
    </w:p>
    <w:p w14:paraId="7510C4CA">
      <w:pPr>
        <w:numPr>
          <w:ilvl w:val="0"/>
          <w:numId w:val="0"/>
        </w:numPr>
        <w:overflowPunct w:val="0"/>
        <w:spacing w:line="576" w:lineRule="exact"/>
        <w:ind w:left="480" w:leftChars="0" w:firstLine="0" w:firstLineChars="0"/>
        <w:jc w:val="left"/>
        <w:rPr>
          <w:rFonts w:ascii="Times New Roman" w:hAnsi="仿宋_GB2312" w:eastAsia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kern w:val="2"/>
          <w:sz w:val="32"/>
          <w:szCs w:val="32"/>
          <w:lang w:val="en-US" w:eastAsia="zh-CN" w:bidi="ar-SA"/>
        </w:rPr>
        <w:t>（三）</w:t>
      </w:r>
      <w:r>
        <w:rPr>
          <w:rFonts w:ascii="Times New Roman" w:hAnsi="仿宋_GB2312" w:eastAsia="仿宋_GB2312"/>
          <w:sz w:val="32"/>
          <w:szCs w:val="32"/>
        </w:rPr>
        <w:t>总体绩效目标完成情况分析。</w:t>
      </w:r>
    </w:p>
    <w:p w14:paraId="745825F7">
      <w:pPr>
        <w:pStyle w:val="10"/>
        <w:widowControl/>
        <w:ind w:firstLine="495" w:firstLineChars="177"/>
        <w:rPr>
          <w:rFonts w:ascii="Times New Roman" w:hAnsi="仿宋_GB2312" w:eastAsia="仿宋_GB2312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202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年，市财政局坚持以习近平新时代中国特色社会主义思想为指导，按照中央和省市决策部署，紧紧围绕全市中心工作，认真履行国家财政、税收、行政事业单位和企业国有资产管法规、制度和方针、政策，制定全市财政发展战略、中长期计划、政策和改革方案并组织实施等工作，基本完成年初部门整体支出总体绩效目标。</w:t>
      </w:r>
    </w:p>
    <w:p w14:paraId="429B4C11">
      <w:pPr>
        <w:numPr>
          <w:ilvl w:val="0"/>
          <w:numId w:val="0"/>
        </w:numPr>
        <w:overflowPunct w:val="0"/>
        <w:spacing w:line="576" w:lineRule="exact"/>
        <w:ind w:left="480" w:leftChars="0" w:firstLine="0" w:firstLineChars="0"/>
        <w:jc w:val="left"/>
        <w:rPr>
          <w:rFonts w:ascii="Times New Roman" w:hAnsi="仿宋_GB2312" w:eastAsia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ascii="Times New Roman" w:hAnsi="仿宋_GB2312" w:eastAsia="仿宋_GB2312"/>
          <w:sz w:val="32"/>
          <w:szCs w:val="32"/>
        </w:rPr>
        <w:t>各项指标完成情况分析。</w:t>
      </w:r>
    </w:p>
    <w:p w14:paraId="08820A87">
      <w:pPr>
        <w:numPr>
          <w:ilvl w:val="0"/>
          <w:numId w:val="0"/>
        </w:numPr>
        <w:overflowPunct w:val="0"/>
        <w:spacing w:line="240" w:lineRule="auto"/>
        <w:ind w:left="0" w:leftChars="0" w:firstLine="560" w:firstLineChars="200"/>
        <w:jc w:val="left"/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 w:bidi="ar-SA"/>
        </w:rPr>
        <w:t>我局部门整体支出绩效目标总体实现较好，但因财政资金紧张，部分项目工作开展受限，故相关指标未完全实现。</w:t>
      </w:r>
    </w:p>
    <w:p w14:paraId="15B41B0E">
      <w:pPr>
        <w:numPr>
          <w:ilvl w:val="0"/>
          <w:numId w:val="0"/>
        </w:numPr>
        <w:overflowPunct w:val="0"/>
        <w:spacing w:line="576" w:lineRule="exact"/>
        <w:ind w:left="480" w:leftChars="0" w:firstLine="0" w:firstLineChars="0"/>
        <w:jc w:val="left"/>
        <w:rPr>
          <w:rFonts w:ascii="Times New Roman" w:hAnsi="仿宋_GB2312" w:eastAsia="仿宋_GB2312"/>
          <w:sz w:val="32"/>
          <w:szCs w:val="32"/>
        </w:rPr>
      </w:pPr>
      <w:r>
        <w:rPr>
          <w:rFonts w:hint="eastAsia" w:ascii="Times New Roman" w:hAnsi="仿宋_GB2312" w:eastAsia="仿宋_GB2312" w:cs="Times New Roman"/>
          <w:kern w:val="2"/>
          <w:sz w:val="32"/>
          <w:szCs w:val="32"/>
          <w:lang w:val="en-US" w:eastAsia="zh-CN" w:bidi="ar-SA"/>
        </w:rPr>
        <w:t>（五）</w:t>
      </w:r>
      <w:r>
        <w:rPr>
          <w:rFonts w:ascii="Times New Roman" w:hAnsi="仿宋_GB2312" w:eastAsia="仿宋_GB2312"/>
          <w:sz w:val="32"/>
          <w:szCs w:val="32"/>
        </w:rPr>
        <w:t>偏离绩效目标的原因及下一步改进措施</w:t>
      </w:r>
    </w:p>
    <w:p w14:paraId="65B22A08">
      <w:pPr>
        <w:numPr>
          <w:ilvl w:val="0"/>
          <w:numId w:val="0"/>
        </w:numPr>
        <w:overflowPunct w:val="0"/>
        <w:spacing w:line="240" w:lineRule="auto"/>
        <w:ind w:left="0" w:leftChars="0" w:firstLine="56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我局将不断改进和完善工作的方式方法，提高工作水平和效率，并加强对预算项目管理，督促相关项目开展，适时支付。</w:t>
      </w:r>
      <w:r>
        <w:rPr>
          <w:rFonts w:ascii="Times New Roman" w:hAnsi="Times New Roman" w:eastAsia="仿宋_GB2312"/>
          <w:sz w:val="32"/>
          <w:szCs w:val="32"/>
        </w:rPr>
        <w:t xml:space="preserve">     </w:t>
      </w:r>
    </w:p>
    <w:p w14:paraId="1C292E62">
      <w:pPr>
        <w:overflowPunct w:val="0"/>
        <w:spacing w:line="576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四、部门</w:t>
      </w:r>
      <w:r>
        <w:rPr>
          <w:rFonts w:hint="eastAsia" w:ascii="黑体" w:hAnsi="黑体" w:eastAsia="黑体"/>
          <w:sz w:val="32"/>
          <w:szCs w:val="32"/>
        </w:rPr>
        <w:t>（单位）</w:t>
      </w:r>
      <w:r>
        <w:rPr>
          <w:rFonts w:ascii="黑体" w:hAnsi="黑体" w:eastAsia="黑体"/>
          <w:sz w:val="32"/>
          <w:szCs w:val="32"/>
        </w:rPr>
        <w:t>预算项目支出绩效自评情况分析</w:t>
      </w:r>
      <w:r>
        <w:rPr>
          <w:rFonts w:ascii="黑体" w:hAnsi="黑体" w:eastAsia="黑体"/>
          <w:sz w:val="32"/>
          <w:szCs w:val="32"/>
        </w:rPr>
        <w:tab/>
      </w:r>
    </w:p>
    <w:p w14:paraId="4C526042">
      <w:pPr>
        <w:overflowPunct w:val="0"/>
        <w:spacing w:line="576" w:lineRule="exact"/>
        <w:ind w:firstLine="56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 w:bidi="ar-SA"/>
        </w:rPr>
        <w:t>2023年，本部门（单位）预算支出项目11个，当年财政拨款2018.3万元，全年支出2018.3万元，执行率99.59%。通过自评，11个项目结果皆为“优”。分项目自评情况分析如下：</w:t>
      </w:r>
    </w:p>
    <w:p w14:paraId="60472D87">
      <w:pPr>
        <w:overflowPunct w:val="0"/>
        <w:spacing w:line="576" w:lineRule="exact"/>
        <w:ind w:firstLine="640" w:firstLineChars="200"/>
        <w:jc w:val="left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（一）项目1：市财政局财政信息化建设</w:t>
      </w:r>
    </w:p>
    <w:p w14:paraId="20B419A0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1．项目支出预算执行情况。预算数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150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150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4EC70F2B">
      <w:pPr>
        <w:pStyle w:val="10"/>
        <w:widowControl/>
        <w:ind w:firstLine="618" w:firstLineChars="221"/>
        <w:rPr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2.总体绩效目标完成情况分析。总体绩效目标完成情况较好，通过项目实施，进一步保障了我市财政系统整体网络安全。</w:t>
      </w:r>
    </w:p>
    <w:p w14:paraId="0C241CB1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分，评价等级优秀。整体提升财政行业的网络安全防护能力，保障财政信息系统安全、平稳运行。</w:t>
      </w:r>
    </w:p>
    <w:p w14:paraId="2CE9F789">
      <w:pPr>
        <w:pStyle w:val="10"/>
        <w:widowControl/>
        <w:ind w:firstLine="618" w:firstLineChars="221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从加强网络安全整体规划入手，研究制定统一的网络安全策略，进一步完善、健全和改进财政网络安全保障体系，全面提升财政行业的网络安全防护能力，构建财政统一的、立体的网络安全体系。</w:t>
      </w:r>
    </w:p>
    <w:p w14:paraId="5E4ED7D4">
      <w:pPr>
        <w:pStyle w:val="10"/>
        <w:widowControl/>
        <w:ind w:firstLine="566" w:firstLineChars="177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仿宋_GB2312" w:eastAsia="仿宋_GB2312"/>
          <w:sz w:val="32"/>
          <w:szCs w:val="32"/>
        </w:rPr>
        <w:t>（二）项目</w:t>
      </w:r>
      <w:r>
        <w:rPr>
          <w:rFonts w:ascii="Times New Roman" w:hAnsi="Times New Roman" w:eastAsia="仿宋_GB2312"/>
          <w:sz w:val="32"/>
          <w:szCs w:val="32"/>
        </w:rPr>
        <w:t>2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市财政局专项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业务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费</w:t>
      </w:r>
    </w:p>
    <w:p w14:paraId="44D96F2B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120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，执行率100%。</w:t>
      </w:r>
    </w:p>
    <w:p w14:paraId="499BD125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2.总体绩效目标完成情况分析。补充局机关办公经费，保证财政工作正常进行。</w:t>
      </w:r>
    </w:p>
    <w:p w14:paraId="6C41FAEB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3.各项指标完成情况分析。评价得分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分，评价等级优秀。用于办公经费，弥补办公经费不足。</w:t>
      </w:r>
    </w:p>
    <w:p w14:paraId="6771CFE5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4.偏离绩效目标的原因及下一步改进措施:支出完成100%，保障了财政工作正常运行。</w:t>
      </w:r>
    </w:p>
    <w:p w14:paraId="6AC69030">
      <w:pPr>
        <w:pStyle w:val="10"/>
        <w:widowControl/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（</w:t>
      </w:r>
      <w:r>
        <w:rPr>
          <w:rFonts w:hint="eastAsia" w:ascii="Times New Roman" w:hAnsi="仿宋_GB2312" w:eastAsia="仿宋_GB2312"/>
          <w:sz w:val="32"/>
          <w:szCs w:val="32"/>
          <w:lang w:val="en-US" w:eastAsia="zh-CN"/>
        </w:rPr>
        <w:t>三</w:t>
      </w:r>
      <w:r>
        <w:rPr>
          <w:rFonts w:ascii="Times New Roman" w:hAnsi="仿宋_GB2312" w:eastAsia="仿宋_GB2312"/>
          <w:sz w:val="32"/>
          <w:szCs w:val="32"/>
        </w:rPr>
        <w:t>）项目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：全国初、中级会计考试考务费</w:t>
      </w:r>
    </w:p>
    <w:p w14:paraId="58134920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1.项目支出预算执行情况。预算数30万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，执行数15.67万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91.64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48ED7AF9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按期组织实施了初级、中级会计考试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27CFD480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99.16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17DF5F39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提高预算编制的精细度和会计考试组织工作的科学性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5A06FF4E">
      <w:pPr>
        <w:pStyle w:val="10"/>
        <w:widowControl/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（</w:t>
      </w:r>
      <w:r>
        <w:rPr>
          <w:rFonts w:hint="eastAsia" w:ascii="Times New Roman" w:hAnsi="仿宋_GB2312" w:eastAsia="仿宋_GB2312"/>
          <w:sz w:val="32"/>
          <w:szCs w:val="32"/>
          <w:lang w:val="en-US" w:eastAsia="zh-CN"/>
        </w:rPr>
        <w:t>四</w:t>
      </w:r>
      <w:r>
        <w:rPr>
          <w:rFonts w:ascii="Times New Roman" w:hAnsi="仿宋_GB2312" w:eastAsia="仿宋_GB2312"/>
          <w:sz w:val="32"/>
          <w:szCs w:val="32"/>
        </w:rPr>
        <w:t>）项目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：物业租赁费</w:t>
      </w:r>
    </w:p>
    <w:p w14:paraId="3FFB6BF5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235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234.94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99.98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6CF771C9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按期支付了单位办公大楼物业管理费及房屋租赁费，保障了单位工作正常开展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128067B6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3CC2421E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进一步提高预算编制的精准度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4591CF4B">
      <w:pPr>
        <w:pStyle w:val="10"/>
        <w:widowControl/>
        <w:numPr>
          <w:ilvl w:val="0"/>
          <w:numId w:val="0"/>
        </w:numPr>
        <w:ind w:firstLine="64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（五）</w:t>
      </w:r>
      <w:r>
        <w:rPr>
          <w:rFonts w:ascii="Times New Roman" w:hAnsi="仿宋_GB2312" w:eastAsia="仿宋_GB2312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：新建业务用房数据中心建设及搬迁项目</w:t>
      </w:r>
    </w:p>
    <w:p w14:paraId="7CE7ECB1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411.3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411.3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2B6794B3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按流程支付了单位新建业务用房数据中心建设及搬迁项目资金，提高了全市财政信息化水平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2AFAD0EF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3E058A97">
      <w:pPr>
        <w:pStyle w:val="10"/>
        <w:widowControl/>
        <w:numPr>
          <w:ilvl w:val="0"/>
          <w:numId w:val="0"/>
        </w:numPr>
        <w:ind w:left="0" w:leftChars="0" w:firstLine="560" w:firstLineChars="200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进一步提高工作的科学性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739AD727">
      <w:pPr>
        <w:pStyle w:val="10"/>
        <w:widowControl/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（</w:t>
      </w:r>
      <w:r>
        <w:rPr>
          <w:rFonts w:hint="eastAsia" w:ascii="Times New Roman" w:hAnsi="仿宋_GB2312" w:eastAsia="仿宋_GB2312"/>
          <w:sz w:val="32"/>
          <w:szCs w:val="32"/>
          <w:lang w:val="en-US" w:eastAsia="zh-CN"/>
        </w:rPr>
        <w:t>六</w:t>
      </w:r>
      <w:r>
        <w:rPr>
          <w:rFonts w:ascii="Times New Roman" w:hAnsi="仿宋_GB2312" w:eastAsia="仿宋_GB2312"/>
          <w:sz w:val="32"/>
          <w:szCs w:val="32"/>
        </w:rPr>
        <w:t>）项目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：干部人事档案信息化建设</w:t>
      </w:r>
    </w:p>
    <w:p w14:paraId="2F7102BC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4.84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48.4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58218811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按期支付了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干部人事档案信息化建设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费用，提高了单位档案管理信息化水平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13E20329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94.84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1D1A7703">
      <w:pPr>
        <w:pStyle w:val="10"/>
        <w:widowControl/>
        <w:ind w:firstLine="618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财政资金紧张，下一年度加快支付进度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0A92A521">
      <w:pPr>
        <w:pStyle w:val="10"/>
        <w:widowControl/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（</w:t>
      </w:r>
      <w:r>
        <w:rPr>
          <w:rFonts w:hint="eastAsia" w:ascii="Times New Roman" w:hAnsi="仿宋_GB2312" w:eastAsia="仿宋_GB2312"/>
          <w:sz w:val="32"/>
          <w:szCs w:val="32"/>
          <w:lang w:val="en-US" w:eastAsia="zh-CN"/>
        </w:rPr>
        <w:t>七</w:t>
      </w:r>
      <w:r>
        <w:rPr>
          <w:rFonts w:ascii="Times New Roman" w:hAnsi="仿宋_GB2312" w:eastAsia="仿宋_GB2312"/>
          <w:sz w:val="32"/>
          <w:szCs w:val="32"/>
        </w:rPr>
        <w:t>）项目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：金融债务业务补助经费</w:t>
      </w:r>
    </w:p>
    <w:p w14:paraId="5FC655AB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24.5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24.5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2FBF9B20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按期支付了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金融债务业务补助经费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，提高了全市债务管理水平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426B20FB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2BE25D06">
      <w:pPr>
        <w:pStyle w:val="10"/>
        <w:widowControl/>
        <w:ind w:firstLine="618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进一步提高工作的科学性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0D11490B">
      <w:pPr>
        <w:pStyle w:val="10"/>
        <w:widowControl/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（</w:t>
      </w:r>
      <w:r>
        <w:rPr>
          <w:rFonts w:hint="eastAsia" w:ascii="Times New Roman" w:hAnsi="仿宋_GB2312" w:eastAsia="仿宋_GB2312"/>
          <w:sz w:val="32"/>
          <w:szCs w:val="32"/>
          <w:lang w:val="en-US" w:eastAsia="zh-CN"/>
        </w:rPr>
        <w:t>八</w:t>
      </w:r>
      <w:r>
        <w:rPr>
          <w:rFonts w:ascii="Times New Roman" w:hAnsi="仿宋_GB2312" w:eastAsia="仿宋_GB2312"/>
          <w:sz w:val="32"/>
          <w:szCs w:val="32"/>
        </w:rPr>
        <w:t>）项目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8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：2023年民航发展基金用于民航基础设施建设和机场航线补贴资金</w:t>
      </w:r>
    </w:p>
    <w:p w14:paraId="45681DE0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0D2EFD42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按期支付了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民航基础设施建设和机场航线补贴资金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，保障了民航基础设施建设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31E4E5F7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2624E433">
      <w:pPr>
        <w:pStyle w:val="10"/>
        <w:widowControl/>
        <w:ind w:firstLine="618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进一步提高工作的科学性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7AD136AB">
      <w:pPr>
        <w:pStyle w:val="10"/>
        <w:widowControl/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（</w:t>
      </w:r>
      <w:r>
        <w:rPr>
          <w:rFonts w:hint="eastAsia" w:ascii="Times New Roman" w:hAnsi="仿宋_GB2312" w:eastAsia="仿宋_GB2312"/>
          <w:sz w:val="32"/>
          <w:szCs w:val="32"/>
          <w:lang w:val="en-US" w:eastAsia="zh-CN"/>
        </w:rPr>
        <w:t>九</w:t>
      </w:r>
      <w:r>
        <w:rPr>
          <w:rFonts w:ascii="Times New Roman" w:hAnsi="仿宋_GB2312" w:eastAsia="仿宋_GB2312"/>
          <w:sz w:val="32"/>
          <w:szCs w:val="32"/>
        </w:rPr>
        <w:t>）项目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9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：全市国有企业资本运作与风险防范化解专题培训班经费</w:t>
      </w:r>
    </w:p>
    <w:p w14:paraId="5B2CAC89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43.6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43.6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040DBABA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按期支付了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全市国有企业资本运作与风险防范化解专题培训班经费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，提高了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国有企业资本运作与风险防范化解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能力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22019A2D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7F236694">
      <w:pPr>
        <w:pStyle w:val="10"/>
        <w:widowControl/>
        <w:ind w:firstLine="618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进一步提高工作的科学性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58EAE13C">
      <w:pPr>
        <w:pStyle w:val="10"/>
        <w:widowControl/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（</w:t>
      </w:r>
      <w:r>
        <w:rPr>
          <w:rFonts w:hint="eastAsia" w:ascii="Times New Roman" w:hAnsi="仿宋_GB2312" w:eastAsia="仿宋_GB2312"/>
          <w:sz w:val="32"/>
          <w:szCs w:val="32"/>
          <w:lang w:val="en-US" w:eastAsia="zh-CN"/>
        </w:rPr>
        <w:t>十</w:t>
      </w:r>
      <w:r>
        <w:rPr>
          <w:rFonts w:ascii="Times New Roman" w:hAnsi="仿宋_GB2312" w:eastAsia="仿宋_GB2312"/>
          <w:sz w:val="32"/>
          <w:szCs w:val="32"/>
        </w:rPr>
        <w:t>）项目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：市级行政事业单位国有资产清查费用</w:t>
      </w:r>
    </w:p>
    <w:p w14:paraId="33A3D405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81.3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81.3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4B0B9BEA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按期支付了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全市国有企业资本运作与风险防范化解专题培训班经费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，提高了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eastAsia="zh-CN"/>
        </w:rPr>
        <w:t>国有企业资本运作与风险防范化解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能力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38E3FDDA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100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6A1E380A">
      <w:pPr>
        <w:pStyle w:val="10"/>
        <w:widowControl/>
        <w:ind w:firstLine="618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进一步提高工作的科学性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4D247A30">
      <w:pPr>
        <w:pStyle w:val="10"/>
        <w:widowControl/>
        <w:numPr>
          <w:ilvl w:val="0"/>
          <w:numId w:val="1"/>
        </w:numPr>
        <w:ind w:firstLine="707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仿宋_GB2312" w:eastAsia="仿宋_GB2312"/>
          <w:sz w:val="32"/>
          <w:szCs w:val="32"/>
        </w:rPr>
        <w:t>项目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11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：市财政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局投资评审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中心评审工作经费</w:t>
      </w:r>
    </w:p>
    <w:p w14:paraId="6730A7C0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1.项目支出预算执行情况。预算数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，执行数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11.44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元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，执行率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95.33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%。</w:t>
      </w:r>
    </w:p>
    <w:p w14:paraId="30A691C6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2.总体绩效目标完成情况分析。 总体绩效目标完成情况良好。(1)加大业务培训力度,提高业务技能水平。(2)充分发挥评审职能,把好财政资金关口。(3)做好评审准备工作,保证评审工作质量。</w:t>
      </w:r>
    </w:p>
    <w:p w14:paraId="48A7C901">
      <w:pPr>
        <w:pStyle w:val="10"/>
        <w:widowControl/>
        <w:ind w:firstLine="618" w:firstLineChars="221"/>
        <w:rPr>
          <w:rFonts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3.各项指标完成情况分析。自评得分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95.33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分，评价等级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优秀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。</w:t>
      </w:r>
    </w:p>
    <w:p w14:paraId="460D0129">
      <w:pPr>
        <w:pStyle w:val="10"/>
        <w:widowControl/>
        <w:ind w:firstLine="618" w:firstLineChars="221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4.偏离绩效目标的原因及下一步改进措施：充分发挥了评审职能,把好财政资金关口。</w:t>
      </w:r>
    </w:p>
    <w:p w14:paraId="044026C2">
      <w:pPr>
        <w:overflowPunct w:val="0"/>
        <w:spacing w:line="576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五、部门管理的市对县区转移支付绩效自评情况分析</w:t>
      </w:r>
    </w:p>
    <w:p w14:paraId="07542C4F">
      <w:pPr>
        <w:pStyle w:val="10"/>
        <w:widowControl/>
        <w:ind w:firstLine="618" w:firstLineChars="221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202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年，本部门无市对县区转移支付。</w:t>
      </w:r>
    </w:p>
    <w:p w14:paraId="10EEC0B8">
      <w:pPr>
        <w:pStyle w:val="10"/>
        <w:widowControl/>
        <w:ind w:firstLine="707" w:firstLineChars="221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六、</w:t>
      </w:r>
      <w:r>
        <w:rPr>
          <w:rFonts w:ascii="黑体" w:hAnsi="黑体" w:eastAsia="黑体" w:cs="Times New Roman"/>
          <w:kern w:val="2"/>
          <w:sz w:val="32"/>
          <w:szCs w:val="32"/>
          <w:lang w:val="en-US" w:eastAsia="zh-CN" w:bidi="ar-SA"/>
        </w:rPr>
        <w:t>绩效</w:t>
      </w:r>
      <w:r>
        <w:rPr>
          <w:rFonts w:ascii="黑体" w:hAnsi="黑体" w:eastAsia="黑体"/>
          <w:sz w:val="32"/>
          <w:szCs w:val="32"/>
        </w:rPr>
        <w:t>自评结果拟应用和公开情况</w:t>
      </w:r>
    </w:p>
    <w:p w14:paraId="7C78F533">
      <w:pPr>
        <w:numPr>
          <w:ilvl w:val="0"/>
          <w:numId w:val="0"/>
        </w:numPr>
        <w:overflowPunct w:val="0"/>
        <w:spacing w:line="576" w:lineRule="exact"/>
        <w:ind w:left="800" w:leftChars="0"/>
        <w:jc w:val="left"/>
        <w:rPr>
          <w:rFonts w:hint="eastAsia" w:ascii="楷体" w:hAnsi="楷体" w:eastAsia="楷体" w:cs="宋体"/>
          <w:color w:val="000000"/>
          <w:kern w:val="0"/>
          <w:sz w:val="28"/>
          <w:szCs w:val="28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</w:rPr>
        <w:t>按要求已在天水市人民政府网站公开。</w:t>
      </w:r>
    </w:p>
    <w:p w14:paraId="2026518F">
      <w:pPr>
        <w:numPr>
          <w:ilvl w:val="0"/>
          <w:numId w:val="0"/>
        </w:numPr>
        <w:overflowPunct w:val="0"/>
        <w:spacing w:line="576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七、</w:t>
      </w:r>
      <w:r>
        <w:rPr>
          <w:rFonts w:ascii="黑体" w:hAnsi="黑体" w:eastAsia="黑体" w:cs="Times New Roman"/>
          <w:kern w:val="2"/>
          <w:sz w:val="32"/>
          <w:szCs w:val="32"/>
          <w:lang w:val="en-US" w:eastAsia="zh-CN" w:bidi="ar-SA"/>
        </w:rPr>
        <w:t>其他需要说</w:t>
      </w:r>
      <w:r>
        <w:rPr>
          <w:rFonts w:ascii="黑体" w:hAnsi="黑体" w:eastAsia="黑体"/>
          <w:sz w:val="32"/>
          <w:szCs w:val="32"/>
        </w:rPr>
        <w:t>明的问题</w:t>
      </w:r>
    </w:p>
    <w:p w14:paraId="1147851D">
      <w:pPr>
        <w:ind w:firstLine="560" w:firstLineChars="200"/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宋体"/>
          <w:color w:val="000000"/>
          <w:kern w:val="0"/>
          <w:sz w:val="28"/>
          <w:szCs w:val="28"/>
          <w:lang w:val="en-US" w:eastAsia="zh-CN" w:bidi="ar-SA"/>
        </w:rPr>
        <w:t>无。</w:t>
      </w:r>
    </w:p>
    <w:p w14:paraId="7BF1EA1A">
      <w:pPr>
        <w:overflowPunct w:val="0"/>
        <w:spacing w:line="576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</w:p>
    <w:p w14:paraId="5C0B6AE6"/>
    <w:sectPr>
      <w:footerReference r:id="rId3" w:type="default"/>
      <w:footerReference r:id="rId4" w:type="even"/>
      <w:pgSz w:w="11906" w:h="16838"/>
      <w:pgMar w:top="2098" w:right="1474" w:bottom="1985" w:left="1588" w:header="851" w:footer="1304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804852"/>
    </w:sdtPr>
    <w:sdtContent>
      <w:p w14:paraId="7331CE38">
        <w:pPr>
          <w:pStyle w:val="3"/>
          <w:overflowPunct w:val="0"/>
          <w:ind w:right="210" w:rightChars="100"/>
          <w:jc w:val="right"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/>
            <w:sz w:val="28"/>
            <w:szCs w:val="28"/>
          </w:rPr>
          <w:t xml:space="preserve"> 1 -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0769409D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804863"/>
    </w:sdtPr>
    <w:sdtContent>
      <w:p w14:paraId="45AE46DE">
        <w:pPr>
          <w:pStyle w:val="3"/>
          <w:ind w:left="210" w:leftChars="100"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  <w:lang w:val="zh-CN"/>
          </w:rPr>
          <w:t>-</w:t>
        </w:r>
        <w:r>
          <w:rPr>
            <w:rFonts w:ascii="Times New Roman" w:hAnsi="Times New Roman"/>
            <w:sz w:val="28"/>
            <w:szCs w:val="28"/>
          </w:rPr>
          <w:t xml:space="preserve"> 2 -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22E6EAE2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01E2FF5"/>
    <w:multiLevelType w:val="singleLevel"/>
    <w:tmpl w:val="501E2FF5"/>
    <w:lvl w:ilvl="0" w:tentative="0">
      <w:start w:val="1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WVhNzA3MjRkZDdlMjMyZGM0ZjlmOTEwMzE4Y2MxODMifQ=="/>
  </w:docVars>
  <w:rsids>
    <w:rsidRoot w:val="132501B4"/>
    <w:rsid w:val="001B7579"/>
    <w:rsid w:val="003035BA"/>
    <w:rsid w:val="004012A9"/>
    <w:rsid w:val="0050541A"/>
    <w:rsid w:val="005851DB"/>
    <w:rsid w:val="00C772E3"/>
    <w:rsid w:val="00CC63A4"/>
    <w:rsid w:val="00F6755F"/>
    <w:rsid w:val="02355837"/>
    <w:rsid w:val="065F48E7"/>
    <w:rsid w:val="0A1038AB"/>
    <w:rsid w:val="0FA83002"/>
    <w:rsid w:val="132501B4"/>
    <w:rsid w:val="15F07F9B"/>
    <w:rsid w:val="1F13477A"/>
    <w:rsid w:val="1FA07AC4"/>
    <w:rsid w:val="27B963CC"/>
    <w:rsid w:val="2E8157DC"/>
    <w:rsid w:val="35F537A9"/>
    <w:rsid w:val="3747231F"/>
    <w:rsid w:val="39C64C20"/>
    <w:rsid w:val="43342AB5"/>
    <w:rsid w:val="4AEE78FE"/>
    <w:rsid w:val="4D436949"/>
    <w:rsid w:val="4F2258DE"/>
    <w:rsid w:val="51671682"/>
    <w:rsid w:val="54DB6D96"/>
    <w:rsid w:val="5DA6306B"/>
    <w:rsid w:val="5EB36A3D"/>
    <w:rsid w:val="5F99786C"/>
    <w:rsid w:val="64373C6C"/>
    <w:rsid w:val="675F5046"/>
    <w:rsid w:val="67861921"/>
    <w:rsid w:val="696D35D2"/>
    <w:rsid w:val="6A4140F8"/>
    <w:rsid w:val="6B8B02A6"/>
    <w:rsid w:val="6FF0021B"/>
    <w:rsid w:val="705B5186"/>
    <w:rsid w:val="73C54B9E"/>
    <w:rsid w:val="73F854AB"/>
    <w:rsid w:val="75F55735"/>
    <w:rsid w:val="7F23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3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autoRedefine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3066</Words>
  <Characters>3305</Characters>
  <Lines>7</Lines>
  <Paragraphs>2</Paragraphs>
  <TotalTime>13</TotalTime>
  <ScaleCrop>false</ScaleCrop>
  <LinksUpToDate>false</LinksUpToDate>
  <CharactersWithSpaces>3321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2024-03-04T07:13:00Z</dcterms:created>
  <dc:creator>Administrator</dc:creator>
  <cp:lastModifiedBy>塔塔</cp:lastModifiedBy>
  <cp:lastPrinted>2023-01-05T08:38:00Z</cp:lastPrinted>
  <dcterms:modified xsi:type="dcterms:W3CDTF">2024-11-05T08:43:12Z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03B6727462454B2991F839BFEFC127D9</vt:lpwstr>
  </property>
</Properties>
</file>