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天水市残疾人联合会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2023年部门预算调整公开表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3" w:lineRule="atLeast"/>
        <w:ind w:left="0" w:right="0" w:firstLine="42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3" w:lineRule="atLeast"/>
        <w:ind w:left="0" w:right="0" w:firstLine="42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按照《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7"/>
          <w:szCs w:val="27"/>
          <w:shd w:val="clear" w:fill="FFFFFF"/>
          <w:lang w:eastAsia="zh-CN"/>
        </w:rPr>
        <w:t>中华人民共和国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预算法》，现将2023年部门预算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7"/>
          <w:szCs w:val="27"/>
          <w:shd w:val="clear" w:fill="FFFFFF"/>
          <w:lang w:eastAsia="zh-CN"/>
        </w:rPr>
        <w:t>调整表公开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如下：</w:t>
      </w:r>
    </w:p>
    <w:p>
      <w:pPr>
        <w:rPr>
          <w:rFonts w:hint="default"/>
          <w:lang w:val="en-US" w:eastAsia="zh-CN"/>
        </w:rPr>
      </w:pPr>
      <w:bookmarkStart w:id="0" w:name="_GoBack"/>
      <w:r>
        <w:drawing>
          <wp:inline distT="0" distB="0" distL="114300" distR="114300">
            <wp:extent cx="6225540" cy="3422650"/>
            <wp:effectExtent l="0" t="0" r="381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25540" cy="342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drawing>
          <wp:inline distT="0" distB="0" distL="114300" distR="114300">
            <wp:extent cx="6252845" cy="3386455"/>
            <wp:effectExtent l="0" t="0" r="1460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338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D378A"/>
    <w:rsid w:val="0DB51E99"/>
    <w:rsid w:val="0EDD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2023-07-11T07:13:00Z</dcterms:created>
  <dc:creator>Administrator</dc:creator>
  <cp:lastModifiedBy>Administrator</cp:lastModifiedBy>
  <cp:lastPrinted>2023-07-11T08:21:00Z</cp:lastPrinted>
  <dcterms:modified xsi:type="dcterms:W3CDTF">2024-09-03T00:43:29Z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