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7C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天水市财政局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2024年绩效评价结果公开</w:t>
      </w:r>
    </w:p>
    <w:p w14:paraId="28372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69D7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为加强财政支出管理，强化财政支出责任，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切实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财政资金使用效益，按照《中华人民共和国预算法》五十七条的规定，我局委托</w:t>
      </w:r>
      <w:r>
        <w:rPr>
          <w:rFonts w:hint="eastAsia" w:ascii="仿宋_GB2312" w:hAnsi="仿宋_GB2312" w:eastAsia="仿宋_GB2312" w:cs="仿宋_GB2312"/>
          <w:sz w:val="32"/>
          <w:szCs w:val="32"/>
        </w:rPr>
        <w:t>第三方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评价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委托第三方评价机构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年度预算执行的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个项目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开展了重点</w:t>
      </w:r>
      <w:r>
        <w:rPr>
          <w:rFonts w:hint="eastAsia" w:ascii="仿宋" w:hAnsi="仿宋" w:eastAsia="仿宋" w:cs="仿宋"/>
          <w:sz w:val="32"/>
          <w:szCs w:val="32"/>
        </w:rPr>
        <w:t>评价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个预算部门开展了部门整体支出绩效评价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对3个县区开展了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县级财政运行综合</w:t>
      </w:r>
      <w:r>
        <w:rPr>
          <w:rFonts w:hint="eastAsia" w:ascii="仿宋" w:hAnsi="仿宋" w:eastAsia="仿宋" w:cs="仿宋"/>
          <w:kern w:val="0"/>
          <w:sz w:val="32"/>
          <w:szCs w:val="32"/>
        </w:rPr>
        <w:t>绩效评价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。目前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评价工作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全面完成，现将绩效部分在门户网站公开，请社会各界予以监督。</w:t>
      </w:r>
    </w:p>
    <w:p w14:paraId="40DAA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535A6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8" w:leftChars="304" w:hanging="1280" w:hangingChars="400"/>
        <w:textAlignment w:val="auto"/>
        <w:outlineLvl w:val="9"/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《天水市机关事务服务中心</w:t>
      </w:r>
      <w:r>
        <w:rPr>
          <w:rFonts w:hint="eastAsia"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部门整体支出绩效评价</w:t>
      </w:r>
      <w:r>
        <w:rPr>
          <w:rFonts w:hint="eastAsia"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告》</w:t>
      </w:r>
    </w:p>
    <w:p w14:paraId="4F9DB7E1">
      <w:pPr>
        <w:overflowPunct w:val="0"/>
        <w:adjustRightInd w:val="0"/>
        <w:snapToGrid w:val="0"/>
        <w:spacing w:line="576" w:lineRule="exact"/>
        <w:ind w:left="1916" w:leftChars="760" w:hanging="320" w:hangingChars="100"/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《天水市市场监督管理局</w:t>
      </w:r>
      <w:r>
        <w:rPr>
          <w:rFonts w:hint="eastAsia"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部门整体支出绩效评价报告》</w:t>
      </w:r>
    </w:p>
    <w:p w14:paraId="434AA84F">
      <w:pPr>
        <w:overflowPunct w:val="0"/>
        <w:adjustRightInd w:val="0"/>
        <w:snapToGrid w:val="0"/>
        <w:spacing w:line="576" w:lineRule="exact"/>
        <w:ind w:left="315" w:leftChars="150" w:firstLine="1280" w:firstLineChars="400"/>
        <w:rPr>
          <w:rFonts w:ascii="Times New Roman" w:hAnsi="仿宋_GB2312" w:eastAsia="仿宋_GB2312" w:cs="Times New Roman"/>
          <w:color w:val="000000" w:themeColor="text1"/>
          <w:spacing w:val="-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hAnsi="仿宋_GB2312" w:eastAsia="仿宋_GB2312" w:cs="Times New Roman"/>
          <w:color w:val="000000" w:themeColor="text1"/>
          <w:spacing w:val="-8"/>
          <w:sz w:val="32"/>
          <w:szCs w:val="32"/>
          <w14:textFill>
            <w14:solidFill>
              <w14:schemeClr w14:val="tx1"/>
            </w14:solidFill>
          </w14:textFill>
        </w:rPr>
        <w:t>《天水市公安局</w:t>
      </w:r>
      <w:r>
        <w:rPr>
          <w:rFonts w:hint="eastAsia" w:ascii="Times New Roman" w:hAnsi="仿宋_GB2312" w:eastAsia="仿宋_GB2312" w:cs="Times New Roman"/>
          <w:color w:val="000000" w:themeColor="text1"/>
          <w:spacing w:val="-8"/>
          <w:sz w:val="32"/>
          <w:szCs w:val="32"/>
          <w14:textFill>
            <w14:solidFill>
              <w14:schemeClr w14:val="tx1"/>
            </w14:solidFill>
          </w14:textFill>
        </w:rPr>
        <w:t>2023年</w:t>
      </w:r>
      <w:r>
        <w:rPr>
          <w:rFonts w:ascii="Times New Roman" w:hAnsi="仿宋_GB2312" w:eastAsia="仿宋_GB2312" w:cs="Times New Roman"/>
          <w:color w:val="000000" w:themeColor="text1"/>
          <w:spacing w:val="-8"/>
          <w:sz w:val="32"/>
          <w:szCs w:val="32"/>
          <w14:textFill>
            <w14:solidFill>
              <w14:schemeClr w14:val="tx1"/>
            </w14:solidFill>
          </w14:textFill>
        </w:rPr>
        <w:t>部门整体支出绩效评价报告》</w:t>
      </w:r>
    </w:p>
    <w:p w14:paraId="046CF5F5">
      <w:pPr>
        <w:overflowPunct w:val="0"/>
        <w:adjustRightInd w:val="0"/>
        <w:snapToGrid w:val="0"/>
        <w:spacing w:line="576" w:lineRule="exact"/>
        <w:ind w:left="2055" w:leftChars="750" w:hanging="480" w:hangingChars="150"/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《天水市科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技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术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2023年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部门整体支出绩效评价报告》</w:t>
      </w:r>
    </w:p>
    <w:p w14:paraId="30ED3E64">
      <w:pPr>
        <w:overflowPunct w:val="0"/>
        <w:adjustRightInd w:val="0"/>
        <w:snapToGrid w:val="0"/>
        <w:spacing w:line="576" w:lineRule="exact"/>
        <w:ind w:firstLine="1600" w:firstLineChars="500"/>
        <w:rPr>
          <w:rFonts w:ascii="Times New Roman" w:hAnsi="仿宋_GB2312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ascii="Times New Roman" w:hAnsi="仿宋_GB2312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《天水市商务局</w:t>
      </w:r>
      <w:r>
        <w:rPr>
          <w:rFonts w:hint="eastAsia" w:ascii="Times New Roman" w:hAnsi="仿宋_GB2312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2023年</w:t>
      </w:r>
      <w:r>
        <w:rPr>
          <w:rFonts w:ascii="Times New Roman" w:hAnsi="仿宋_GB2312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部门整体支出绩效评价报告》</w:t>
      </w:r>
    </w:p>
    <w:p w14:paraId="1D14DDF0">
      <w:pPr>
        <w:overflowPunct w:val="0"/>
        <w:adjustRightInd w:val="0"/>
        <w:snapToGrid w:val="0"/>
        <w:spacing w:line="576" w:lineRule="exact"/>
        <w:ind w:left="1984" w:leftChars="750" w:hanging="409" w:hangingChars="128"/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《天水市住房和城乡建设局</w:t>
      </w:r>
      <w:r>
        <w:rPr>
          <w:rFonts w:hint="eastAsia"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部门整体支出绩效评价报告》</w:t>
      </w:r>
    </w:p>
    <w:p w14:paraId="0F95C328">
      <w:pPr>
        <w:overflowPunct w:val="0"/>
        <w:adjustRightInd w:val="0"/>
        <w:snapToGrid w:val="0"/>
        <w:spacing w:line="576" w:lineRule="exact"/>
        <w:ind w:left="1984" w:leftChars="750" w:hanging="409" w:hangingChars="128"/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《天水市自然资源局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2023年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部门整体支出绩效评价报告》</w:t>
      </w:r>
    </w:p>
    <w:p w14:paraId="2DF05E07">
      <w:pPr>
        <w:tabs>
          <w:tab w:val="left" w:pos="709"/>
        </w:tabs>
        <w:overflowPunct w:val="0"/>
        <w:adjustRightInd w:val="0"/>
        <w:snapToGrid w:val="0"/>
        <w:spacing w:line="576" w:lineRule="exact"/>
        <w:ind w:left="1984" w:leftChars="750" w:hanging="409" w:hangingChars="128"/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天水市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全域无垃圾一期特许经营服务费绩效评价报告》</w:t>
      </w:r>
    </w:p>
    <w:p w14:paraId="7EEBD6D7">
      <w:pPr>
        <w:tabs>
          <w:tab w:val="left" w:pos="1985"/>
        </w:tabs>
        <w:overflowPunct w:val="0"/>
        <w:adjustRightInd w:val="0"/>
        <w:snapToGrid w:val="0"/>
        <w:spacing w:line="576" w:lineRule="exact"/>
        <w:ind w:left="1916" w:leftChars="760" w:hanging="320" w:hangingChars="100"/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《公交企业社会福利补贴、公交运营车辆定额补贴</w:t>
      </w:r>
      <w:r>
        <w:rPr>
          <w:rFonts w:hint="eastAsia"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绩效评价报告》</w:t>
      </w:r>
    </w:p>
    <w:p w14:paraId="58B99B8B">
      <w:pPr>
        <w:overflowPunct w:val="0"/>
        <w:adjustRightInd w:val="0"/>
        <w:snapToGrid w:val="0"/>
        <w:spacing w:line="576" w:lineRule="exact"/>
        <w:ind w:firstLine="1600" w:firstLineChars="500"/>
        <w:rPr>
          <w:rFonts w:ascii="Times New Roman" w:hAns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10.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天水市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2023年度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20"/>
          <w:kern w:val="0"/>
          <w:sz w:val="32"/>
          <w:szCs w:val="32"/>
          <w14:textFill>
            <w14:solidFill>
              <w14:schemeClr w14:val="tx1"/>
            </w14:solidFill>
          </w14:textFill>
        </w:rPr>
        <w:t>征地拆迁补偿资金绩效评价报告》</w:t>
      </w:r>
    </w:p>
    <w:p w14:paraId="1DC9E487">
      <w:pPr>
        <w:overflowPunct w:val="0"/>
        <w:adjustRightInd w:val="0"/>
        <w:snapToGrid w:val="0"/>
        <w:spacing w:line="576" w:lineRule="exact"/>
        <w:ind w:firstLine="1600" w:firstLineChars="500"/>
        <w:rPr>
          <w:rFonts w:hint="eastAsia" w:ascii="Times New Roman" w:hAnsi="仿宋_GB2312" w:eastAsia="仿宋_GB2312" w:cs="Times New Roman"/>
          <w:spacing w:val="-8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11.</w:t>
      </w:r>
      <w:r>
        <w:rPr>
          <w:rFonts w:ascii="Times New Roman" w:hAnsi="仿宋_GB2312" w:eastAsia="仿宋_GB2312" w:cs="Times New Roman"/>
          <w:snapToGrid w:val="0"/>
          <w:color w:val="000000" w:themeColor="text1"/>
          <w:spacing w:val="-17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《社保</w:t>
      </w:r>
      <w:r>
        <w:rPr>
          <w:rFonts w:ascii="Times New Roman" w:hAnsi="仿宋_GB2312" w:eastAsia="仿宋_GB2312" w:cs="Times New Roman"/>
          <w:snapToGrid w:val="0"/>
          <w:spacing w:val="-17"/>
          <w:kern w:val="0"/>
          <w:sz w:val="32"/>
          <w:szCs w:val="32"/>
        </w:rPr>
        <w:t>经办服务岗位政府购买服务</w:t>
      </w:r>
      <w:r>
        <w:rPr>
          <w:rFonts w:hint="eastAsia" w:ascii="Times New Roman" w:hAnsi="仿宋_GB2312" w:eastAsia="仿宋_GB2312" w:cs="Times New Roman"/>
          <w:snapToGrid w:val="0"/>
          <w:spacing w:val="-17"/>
          <w:kern w:val="0"/>
          <w:sz w:val="32"/>
          <w:szCs w:val="32"/>
        </w:rPr>
        <w:t>项目</w:t>
      </w:r>
      <w:r>
        <w:rPr>
          <w:rFonts w:ascii="Times New Roman" w:hAnsi="仿宋_GB2312" w:eastAsia="仿宋_GB2312" w:cs="Times New Roman"/>
          <w:snapToGrid w:val="0"/>
          <w:spacing w:val="-17"/>
          <w:kern w:val="0"/>
          <w:sz w:val="32"/>
          <w:szCs w:val="32"/>
        </w:rPr>
        <w:t>绩效评价报告》</w:t>
      </w:r>
    </w:p>
    <w:p w14:paraId="2E612E44">
      <w:pPr>
        <w:overflowPunct w:val="0"/>
        <w:adjustRightInd w:val="0"/>
        <w:snapToGrid w:val="0"/>
        <w:spacing w:line="576" w:lineRule="exact"/>
        <w:ind w:firstLine="1520" w:firstLineChars="500"/>
        <w:rPr>
          <w:rFonts w:ascii="Times New Roman" w:hAnsi="仿宋_GB2312" w:eastAsia="仿宋_GB2312" w:cs="Times New Roman"/>
          <w:sz w:val="32"/>
          <w:szCs w:val="32"/>
        </w:rPr>
      </w:pPr>
      <w:r>
        <w:rPr>
          <w:rFonts w:hint="eastAsia" w:ascii="Times New Roman" w:hAnsi="仿宋_GB2312" w:eastAsia="仿宋_GB2312" w:cs="Times New Roman"/>
          <w:spacing w:val="-8"/>
          <w:sz w:val="32"/>
          <w:szCs w:val="32"/>
        </w:rPr>
        <w:t>12.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3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《2023年医保经办服务岗位政府购买服务绩效评价报告》</w:t>
      </w:r>
    </w:p>
    <w:p w14:paraId="54967D56">
      <w:pPr>
        <w:overflowPunct w:val="0"/>
        <w:adjustRightInd w:val="0"/>
        <w:snapToGrid w:val="0"/>
        <w:spacing w:line="576" w:lineRule="exact"/>
        <w:ind w:left="2236" w:leftChars="760" w:hanging="640" w:hangingChars="200"/>
        <w:rPr>
          <w:rFonts w:ascii="Times New Roman" w:hAnsi="仿宋_GB2312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13.</w:t>
      </w:r>
      <w:r>
        <w:rPr>
          <w:rFonts w:ascii="Times New Roman" w:hAnsi="仿宋_GB2312" w:eastAsia="仿宋_GB2312" w:cs="Times New Roman"/>
          <w:sz w:val="32"/>
          <w:szCs w:val="32"/>
        </w:rPr>
        <w:t>《</w:t>
      </w:r>
      <w:r>
        <w:rPr>
          <w:rFonts w:hint="eastAsia" w:ascii="Times New Roman" w:hAnsi="仿宋_GB2312" w:eastAsia="仿宋_GB2312" w:cs="Times New Roman"/>
          <w:sz w:val="32"/>
          <w:szCs w:val="32"/>
        </w:rPr>
        <w:t>天水市</w:t>
      </w:r>
      <w:r>
        <w:rPr>
          <w:rFonts w:ascii="Times New Roman" w:hAnsi="仿宋_GB2312" w:eastAsia="仿宋_GB2312" w:cs="Times New Roman"/>
          <w:sz w:val="32"/>
          <w:szCs w:val="32"/>
        </w:rPr>
        <w:t>机关事业单位</w:t>
      </w:r>
      <w:r>
        <w:rPr>
          <w:rFonts w:hint="eastAsia" w:ascii="Times New Roman" w:hAnsi="仿宋_GB2312" w:eastAsia="仿宋_GB2312" w:cs="Times New Roman"/>
          <w:sz w:val="32"/>
          <w:szCs w:val="32"/>
        </w:rPr>
        <w:t>2023年度</w:t>
      </w:r>
      <w:r>
        <w:rPr>
          <w:rFonts w:ascii="Times New Roman" w:hAnsi="仿宋_GB2312" w:eastAsia="仿宋_GB2312" w:cs="Times New Roman"/>
          <w:sz w:val="32"/>
          <w:szCs w:val="32"/>
        </w:rPr>
        <w:t>基本养老保险</w:t>
      </w:r>
      <w:r>
        <w:rPr>
          <w:rFonts w:hint="eastAsia" w:ascii="Times New Roman" w:hAnsi="仿宋_GB2312" w:eastAsia="仿宋_GB2312" w:cs="Times New Roman"/>
          <w:sz w:val="32"/>
          <w:szCs w:val="32"/>
        </w:rPr>
        <w:t>预算执行</w:t>
      </w:r>
      <w:r>
        <w:rPr>
          <w:rFonts w:ascii="Times New Roman" w:hAnsi="仿宋_GB2312" w:eastAsia="仿宋_GB2312" w:cs="Times New Roman"/>
          <w:sz w:val="32"/>
          <w:szCs w:val="32"/>
        </w:rPr>
        <w:t>绩效评价报告》</w:t>
      </w:r>
    </w:p>
    <w:p w14:paraId="038AF9AA">
      <w:pPr>
        <w:overflowPunct w:val="0"/>
        <w:adjustRightInd w:val="0"/>
        <w:snapToGrid w:val="0"/>
        <w:spacing w:line="576" w:lineRule="exact"/>
        <w:ind w:left="2236" w:leftChars="760" w:hanging="640" w:hangingChars="200"/>
        <w:rPr>
          <w:rFonts w:ascii="Times New Roman" w:hAnsi="仿宋_GB2312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仿宋_GB2312" w:eastAsia="仿宋_GB2312" w:cs="Times New Roman"/>
          <w:sz w:val="32"/>
          <w:szCs w:val="32"/>
        </w:rPr>
        <w:t>《</w:t>
      </w:r>
      <w:r>
        <w:rPr>
          <w:rFonts w:hint="eastAsia" w:ascii="Times New Roman" w:hAnsi="仿宋_GB2312" w:eastAsia="仿宋_GB2312" w:cs="Times New Roman"/>
          <w:sz w:val="32"/>
          <w:szCs w:val="32"/>
        </w:rPr>
        <w:t>天水市</w:t>
      </w:r>
      <w:r>
        <w:rPr>
          <w:rFonts w:ascii="Times New Roman" w:hAnsi="仿宋_GB2312" w:eastAsia="仿宋_GB2312" w:cs="Times New Roman"/>
          <w:sz w:val="32"/>
          <w:szCs w:val="32"/>
        </w:rPr>
        <w:t>麦积山景区游客服务中心主馆室内装饰及数字麦积山建设项目</w:t>
      </w:r>
      <w:r>
        <w:rPr>
          <w:rFonts w:hint="eastAsia" w:ascii="Times New Roman" w:hAnsi="仿宋_GB2312" w:eastAsia="仿宋_GB2312" w:cs="Times New Roman"/>
          <w:sz w:val="32"/>
          <w:szCs w:val="32"/>
        </w:rPr>
        <w:t>（一期）</w:t>
      </w:r>
      <w:r>
        <w:rPr>
          <w:rFonts w:ascii="Times New Roman" w:hAnsi="仿宋_GB2312" w:eastAsia="仿宋_GB2312" w:cs="Times New Roman"/>
          <w:sz w:val="32"/>
          <w:szCs w:val="32"/>
        </w:rPr>
        <w:t>绩效评价报告》</w:t>
      </w:r>
    </w:p>
    <w:p w14:paraId="77AADA7A">
      <w:pPr>
        <w:overflowPunct w:val="0"/>
        <w:adjustRightInd w:val="0"/>
        <w:snapToGrid w:val="0"/>
        <w:spacing w:line="576" w:lineRule="exact"/>
        <w:ind w:firstLine="1600" w:firstLineChars="500"/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3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仿宋_GB2312" w:eastAsia="仿宋_GB2312" w:cs="Times New Roman"/>
          <w:snapToGrid w:val="0"/>
          <w:color w:val="000000" w:themeColor="text1"/>
          <w:spacing w:val="-23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《麦积山景区游客服务中心（二期）项目绩效评价报告》</w:t>
      </w:r>
    </w:p>
    <w:p w14:paraId="4F3AB54D">
      <w:pPr>
        <w:overflowPunct w:val="0"/>
        <w:adjustRightInd w:val="0"/>
        <w:snapToGrid w:val="0"/>
        <w:spacing w:line="576" w:lineRule="exact"/>
        <w:ind w:left="2236" w:leftChars="760" w:hanging="640" w:hangingChars="200"/>
        <w:rPr>
          <w:rFonts w:ascii="Times New Roman" w:hAnsi="仿宋_GB2312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仿宋_GB2312" w:eastAsia="仿宋_GB2312" w:cs="Times New Roman"/>
          <w:sz w:val="32"/>
          <w:szCs w:val="32"/>
        </w:rPr>
        <w:t>《天水市</w:t>
      </w:r>
      <w:r>
        <w:rPr>
          <w:rFonts w:ascii="Times New Roman" w:hAnsi="Times New Roman" w:eastAsia="仿宋_GB2312" w:cs="Times New Roman"/>
          <w:sz w:val="32"/>
          <w:szCs w:val="32"/>
        </w:rPr>
        <w:t>2023</w:t>
      </w:r>
      <w:r>
        <w:rPr>
          <w:rFonts w:ascii="Times New Roman" w:hAnsi="仿宋_GB2312" w:eastAsia="仿宋_GB2312" w:cs="Times New Roman"/>
          <w:sz w:val="32"/>
          <w:szCs w:val="32"/>
        </w:rPr>
        <w:t>年度市级国有资本经营预算支出绩效评价报告》</w:t>
      </w:r>
    </w:p>
    <w:p w14:paraId="049C529C">
      <w:pPr>
        <w:overflowPunct w:val="0"/>
        <w:adjustRightInd w:val="0"/>
        <w:snapToGrid w:val="0"/>
        <w:spacing w:line="576" w:lineRule="exact"/>
        <w:ind w:firstLine="1600" w:firstLineChars="500"/>
        <w:rPr>
          <w:rFonts w:ascii="Times New Roman" w:hAnsi="仿宋_GB2312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仿宋_GB2312" w:eastAsia="仿宋_GB2312" w:cs="Times New Roman"/>
          <w:sz w:val="32"/>
          <w:szCs w:val="32"/>
        </w:rPr>
        <w:t>《天水市高端产业发展基金项目绩效评价报告》</w:t>
      </w:r>
    </w:p>
    <w:p w14:paraId="75D1B4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236" w:leftChars="760" w:hanging="640" w:hangingChars="200"/>
        <w:textAlignment w:val="auto"/>
        <w:outlineLvl w:val="9"/>
        <w:rPr>
          <w:rFonts w:ascii="Times New Roman" w:hAnsi="仿宋_GB2312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仿宋_GB2312" w:eastAsia="仿宋_GB2312" w:cs="Times New Roman"/>
          <w:sz w:val="32"/>
          <w:szCs w:val="32"/>
        </w:rPr>
        <w:t>《</w:t>
      </w:r>
      <w:r>
        <w:rPr>
          <w:rFonts w:ascii="Times New Roman" w:hAnsi="Times New Roman" w:eastAsia="仿宋_GB2312" w:cs="Times New Roman"/>
          <w:sz w:val="32"/>
          <w:szCs w:val="32"/>
        </w:rPr>
        <w:t>2023</w:t>
      </w:r>
      <w:r>
        <w:rPr>
          <w:rFonts w:ascii="Times New Roman" w:hAnsi="仿宋_GB2312" w:eastAsia="仿宋_GB2312" w:cs="Times New Roman"/>
          <w:sz w:val="32"/>
          <w:szCs w:val="32"/>
        </w:rPr>
        <w:t>年</w:t>
      </w:r>
      <w:r>
        <w:rPr>
          <w:rFonts w:hint="eastAsia" w:ascii="Times New Roman" w:hAnsi="仿宋_GB2312" w:eastAsia="仿宋_GB2312" w:cs="Times New Roman"/>
          <w:sz w:val="32"/>
          <w:szCs w:val="32"/>
        </w:rPr>
        <w:t>度</w:t>
      </w:r>
      <w:r>
        <w:rPr>
          <w:rFonts w:ascii="Times New Roman" w:hAnsi="仿宋_GB2312" w:eastAsia="仿宋_GB2312" w:cs="Times New Roman"/>
          <w:sz w:val="32"/>
          <w:szCs w:val="32"/>
        </w:rPr>
        <w:t>行政村农民体育健身工程场地器材购置项目绩效评价</w:t>
      </w:r>
      <w:bookmarkStart w:id="0" w:name="_GoBack"/>
      <w:bookmarkEnd w:id="0"/>
      <w:r>
        <w:rPr>
          <w:rFonts w:ascii="Times New Roman" w:hAnsi="仿宋_GB2312" w:eastAsia="仿宋_GB2312" w:cs="Times New Roman"/>
          <w:sz w:val="32"/>
          <w:szCs w:val="32"/>
        </w:rPr>
        <w:t>报告》</w:t>
      </w:r>
    </w:p>
    <w:p w14:paraId="7A19E4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236" w:leftChars="760" w:hanging="640" w:hanging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仿宋_GB2312" w:eastAsia="仿宋_GB2312" w:cs="Times New Roman"/>
          <w:sz w:val="32"/>
          <w:szCs w:val="32"/>
          <w:lang w:val="en-US" w:eastAsia="zh-CN"/>
        </w:rPr>
        <w:t>19.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《2023年度张家川县财政运行综合绩效评价》</w:t>
      </w:r>
    </w:p>
    <w:p w14:paraId="7630CB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236" w:leftChars="760" w:hanging="640" w:hanging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20.《2023年度清水县财政运行综合绩效评价报告》</w:t>
      </w:r>
    </w:p>
    <w:p w14:paraId="17AF91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236" w:leftChars="760" w:hanging="640" w:hanging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21.《2023年度武山县财政运行综合绩效评价报告》</w:t>
      </w:r>
    </w:p>
    <w:p w14:paraId="0B11C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3571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天水市财政局</w:t>
      </w:r>
    </w:p>
    <w:p w14:paraId="5BB59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2024年9月29日</w:t>
      </w:r>
    </w:p>
    <w:p w14:paraId="09E67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2098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9CC6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90CB9"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B90CB9"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Y2UzM2MwMmM4YWU0ODc2NDY5MWFjYzY5YWU3N2EifQ=="/>
  </w:docVars>
  <w:rsids>
    <w:rsidRoot w:val="62155B6F"/>
    <w:rsid w:val="038D51FF"/>
    <w:rsid w:val="06062FA6"/>
    <w:rsid w:val="093046DF"/>
    <w:rsid w:val="0A7669ED"/>
    <w:rsid w:val="0E097B78"/>
    <w:rsid w:val="14410128"/>
    <w:rsid w:val="15FF137C"/>
    <w:rsid w:val="1AF63C7A"/>
    <w:rsid w:val="1FF00B97"/>
    <w:rsid w:val="23395F0B"/>
    <w:rsid w:val="26ED7BDF"/>
    <w:rsid w:val="274744F6"/>
    <w:rsid w:val="284969C0"/>
    <w:rsid w:val="29673C78"/>
    <w:rsid w:val="2C017D63"/>
    <w:rsid w:val="30532F8E"/>
    <w:rsid w:val="311D24A9"/>
    <w:rsid w:val="325C3658"/>
    <w:rsid w:val="33BE382C"/>
    <w:rsid w:val="355221FD"/>
    <w:rsid w:val="40552625"/>
    <w:rsid w:val="42B07FE6"/>
    <w:rsid w:val="45DE4E6B"/>
    <w:rsid w:val="487C4460"/>
    <w:rsid w:val="4C4E6CAA"/>
    <w:rsid w:val="4CF84C74"/>
    <w:rsid w:val="5431324A"/>
    <w:rsid w:val="55833618"/>
    <w:rsid w:val="5B106DF2"/>
    <w:rsid w:val="5DF06011"/>
    <w:rsid w:val="5F8355ED"/>
    <w:rsid w:val="62155B6F"/>
    <w:rsid w:val="65C24BB9"/>
    <w:rsid w:val="6703252B"/>
    <w:rsid w:val="733777E5"/>
    <w:rsid w:val="73C17297"/>
    <w:rsid w:val="74216DB1"/>
    <w:rsid w:val="78C0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485</Words>
  <Characters>538</Characters>
  <Lines>0</Lines>
  <Paragraphs>0</Paragraphs>
  <TotalTime>8</TotalTime>
  <ScaleCrop>false</ScaleCrop>
  <LinksUpToDate>false</LinksUpToDate>
  <CharactersWithSpaces>546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2019-07-09T08:15:00Z</dcterms:created>
  <dc:creator>Administrator</dc:creator>
  <cp:lastModifiedBy>沐燚</cp:lastModifiedBy>
  <cp:lastPrinted>2024-10-12T03:18:20Z</cp:lastPrinted>
  <dcterms:modified xsi:type="dcterms:W3CDTF">2024-10-12T03:25:56Z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BF4E921DD6E84C5E8648A797E388ED55</vt:lpwstr>
  </property>
</Properties>
</file>