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56CCE">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黑体" w:cs="Times New Roman"/>
          <w:b w:val="0"/>
          <w:bCs w:val="0"/>
          <w:sz w:val="28"/>
          <w:szCs w:val="28"/>
          <w:lang w:bidi="ar"/>
        </w:rPr>
      </w:pPr>
      <w:r>
        <w:rPr>
          <w:rFonts w:hint="default" w:ascii="Times New Roman" w:hAnsi="Times New Roman" w:eastAsia="黑体" w:cs="Times New Roman"/>
          <w:b w:val="0"/>
          <w:bCs w:val="0"/>
          <w:sz w:val="28"/>
          <w:szCs w:val="28"/>
          <w:lang w:bidi="ar"/>
        </w:rPr>
        <w:t>市七届人大</w:t>
      </w:r>
      <w:r>
        <w:rPr>
          <w:rFonts w:hint="default" w:ascii="Times New Roman" w:hAnsi="Times New Roman" w:eastAsia="黑体" w:cs="Times New Roman"/>
          <w:b w:val="0"/>
          <w:bCs w:val="0"/>
          <w:sz w:val="28"/>
          <w:szCs w:val="28"/>
          <w:lang w:eastAsia="zh-CN" w:bidi="ar"/>
        </w:rPr>
        <w:t>六</w:t>
      </w:r>
      <w:r>
        <w:rPr>
          <w:rFonts w:hint="default" w:ascii="Times New Roman" w:hAnsi="Times New Roman" w:eastAsia="黑体" w:cs="Times New Roman"/>
          <w:b w:val="0"/>
          <w:bCs w:val="0"/>
          <w:sz w:val="28"/>
          <w:szCs w:val="28"/>
          <w:lang w:bidi="ar"/>
        </w:rPr>
        <w:t>次</w:t>
      </w:r>
    </w:p>
    <w:p w14:paraId="0FCA1BCB">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黑体" w:cs="Times New Roman"/>
          <w:b w:val="0"/>
          <w:bCs w:val="0"/>
          <w:spacing w:val="0"/>
          <w:sz w:val="28"/>
          <w:szCs w:val="28"/>
          <w:lang w:val="en-US" w:bidi="ar"/>
        </w:rPr>
      </w:pPr>
      <w:r>
        <w:rPr>
          <w:rFonts w:hint="default" w:ascii="Times New Roman" w:hAnsi="Times New Roman" w:eastAsia="黑体" w:cs="Times New Roman"/>
          <w:b w:val="0"/>
          <w:bCs w:val="0"/>
          <w:spacing w:val="0"/>
          <w:sz w:val="28"/>
          <w:szCs w:val="28"/>
          <w:lang w:bidi="ar"/>
        </w:rPr>
        <w:t>会议文件之</w:t>
      </w:r>
      <w:r>
        <w:rPr>
          <w:rFonts w:hint="eastAsia" w:eastAsia="黑体" w:cs="Times New Roman"/>
          <w:b w:val="0"/>
          <w:bCs w:val="0"/>
          <w:spacing w:val="0"/>
          <w:sz w:val="28"/>
          <w:szCs w:val="28"/>
          <w:lang w:val="en-US" w:eastAsia="zh-CN" w:bidi="ar"/>
        </w:rPr>
        <w:t>十八</w:t>
      </w:r>
    </w:p>
    <w:p w14:paraId="612A6E29">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p>
    <w:p w14:paraId="3170C8DF">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关于</w:t>
      </w:r>
      <w:r>
        <w:rPr>
          <w:rFonts w:hint="default" w:ascii="Times New Roman" w:hAnsi="Times New Roman" w:eastAsia="方正小标宋简体" w:cs="Times New Roman"/>
          <w:b w:val="0"/>
          <w:bCs w:val="0"/>
          <w:sz w:val="44"/>
          <w:szCs w:val="44"/>
        </w:rPr>
        <w:t>20</w:t>
      </w:r>
      <w:r>
        <w:rPr>
          <w:rFonts w:hint="default" w:ascii="Times New Roman" w:hAnsi="Times New Roman" w:eastAsia="方正小标宋简体" w:cs="Times New Roman"/>
          <w:b w:val="0"/>
          <w:bCs w:val="0"/>
          <w:sz w:val="44"/>
          <w:szCs w:val="44"/>
          <w:lang w:val="en-US" w:eastAsia="zh-CN"/>
        </w:rPr>
        <w:t>20</w:t>
      </w:r>
      <w:r>
        <w:rPr>
          <w:rFonts w:hint="default" w:ascii="Times New Roman" w:hAnsi="Times New Roman" w:eastAsia="方正小标宋简体" w:cs="Times New Roman"/>
          <w:b w:val="0"/>
          <w:bCs w:val="0"/>
          <w:sz w:val="44"/>
          <w:szCs w:val="44"/>
        </w:rPr>
        <w:t>年全市财政预算执行情况</w:t>
      </w:r>
    </w:p>
    <w:p w14:paraId="3B600B89">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pacing w:val="6"/>
          <w:sz w:val="44"/>
          <w:szCs w:val="44"/>
        </w:rPr>
      </w:pPr>
      <w:r>
        <w:rPr>
          <w:rFonts w:hint="default" w:ascii="Times New Roman" w:hAnsi="Times New Roman" w:eastAsia="方正小标宋简体" w:cs="Times New Roman"/>
          <w:b w:val="0"/>
          <w:bCs w:val="0"/>
          <w:sz w:val="44"/>
          <w:szCs w:val="44"/>
        </w:rPr>
        <w:t>和</w:t>
      </w:r>
      <w:r>
        <w:rPr>
          <w:rFonts w:hint="default" w:ascii="Times New Roman" w:hAnsi="Times New Roman" w:eastAsia="方正小标宋简体" w:cs="Times New Roman"/>
          <w:b w:val="0"/>
          <w:bCs w:val="0"/>
          <w:spacing w:val="6"/>
          <w:sz w:val="44"/>
          <w:szCs w:val="44"/>
        </w:rPr>
        <w:t>202</w:t>
      </w:r>
      <w:r>
        <w:rPr>
          <w:rFonts w:hint="default" w:ascii="Times New Roman" w:hAnsi="Times New Roman" w:eastAsia="方正小标宋简体" w:cs="Times New Roman"/>
          <w:b w:val="0"/>
          <w:bCs w:val="0"/>
          <w:spacing w:val="6"/>
          <w:sz w:val="44"/>
          <w:szCs w:val="44"/>
          <w:lang w:val="en-US" w:eastAsia="zh-CN"/>
        </w:rPr>
        <w:t>1</w:t>
      </w:r>
      <w:r>
        <w:rPr>
          <w:rFonts w:hint="default" w:ascii="Times New Roman" w:hAnsi="Times New Roman" w:eastAsia="方正小标宋简体" w:cs="Times New Roman"/>
          <w:b w:val="0"/>
          <w:bCs w:val="0"/>
          <w:spacing w:val="6"/>
          <w:sz w:val="44"/>
          <w:szCs w:val="44"/>
        </w:rPr>
        <w:t>年全市及市级财政预算草案的报告</w:t>
      </w:r>
    </w:p>
    <w:p w14:paraId="177C317D">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楷体_GB2312" w:cs="Times New Roman"/>
          <w:b w:val="0"/>
          <w:bCs w:val="0"/>
          <w:spacing w:val="-6"/>
          <w:sz w:val="32"/>
          <w:szCs w:val="32"/>
        </w:rPr>
      </w:pPr>
      <w:r>
        <w:rPr>
          <w:rFonts w:hint="default" w:ascii="Times New Roman" w:hAnsi="Times New Roman" w:eastAsia="楷体_GB2312" w:cs="Times New Roman"/>
          <w:b w:val="0"/>
          <w:bCs w:val="0"/>
          <w:spacing w:val="-6"/>
          <w:position w:val="1"/>
          <w:sz w:val="32"/>
          <w:szCs w:val="32"/>
        </w:rPr>
        <w:t>——</w:t>
      </w:r>
      <w:r>
        <w:rPr>
          <w:rFonts w:hint="default" w:ascii="Times New Roman" w:hAnsi="Times New Roman" w:eastAsia="楷体_GB2312" w:cs="Times New Roman"/>
          <w:b w:val="0"/>
          <w:bCs w:val="0"/>
          <w:spacing w:val="-5"/>
          <w:sz w:val="32"/>
          <w:szCs w:val="32"/>
        </w:rPr>
        <w:t>202</w:t>
      </w:r>
      <w:r>
        <w:rPr>
          <w:rFonts w:hint="default" w:ascii="Times New Roman" w:hAnsi="Times New Roman" w:eastAsia="楷体_GB2312" w:cs="Times New Roman"/>
          <w:b w:val="0"/>
          <w:bCs w:val="0"/>
          <w:spacing w:val="-5"/>
          <w:sz w:val="32"/>
          <w:szCs w:val="32"/>
          <w:lang w:val="en-US" w:eastAsia="zh-CN"/>
        </w:rPr>
        <w:t>1</w:t>
      </w:r>
      <w:r>
        <w:rPr>
          <w:rFonts w:hint="default" w:ascii="Times New Roman" w:hAnsi="Times New Roman" w:eastAsia="楷体_GB2312" w:cs="Times New Roman"/>
          <w:b w:val="0"/>
          <w:bCs w:val="0"/>
          <w:spacing w:val="-5"/>
          <w:sz w:val="32"/>
          <w:szCs w:val="32"/>
        </w:rPr>
        <w:t>年</w:t>
      </w:r>
      <w:r>
        <w:rPr>
          <w:rFonts w:hint="default" w:ascii="Times New Roman" w:hAnsi="Times New Roman" w:eastAsia="楷体_GB2312" w:cs="Times New Roman"/>
          <w:b w:val="0"/>
          <w:bCs w:val="0"/>
          <w:spacing w:val="-5"/>
          <w:sz w:val="32"/>
          <w:szCs w:val="32"/>
          <w:lang w:val="en-US" w:eastAsia="zh-CN"/>
        </w:rPr>
        <w:t>2</w:t>
      </w:r>
      <w:r>
        <w:rPr>
          <w:rFonts w:hint="default" w:ascii="Times New Roman" w:hAnsi="Times New Roman" w:eastAsia="楷体_GB2312" w:cs="Times New Roman"/>
          <w:b w:val="0"/>
          <w:bCs w:val="0"/>
          <w:spacing w:val="-5"/>
          <w:sz w:val="32"/>
          <w:szCs w:val="32"/>
        </w:rPr>
        <w:t>月</w:t>
      </w:r>
      <w:r>
        <w:rPr>
          <w:rFonts w:hint="eastAsia" w:eastAsia="楷体_GB2312" w:cs="Times New Roman"/>
          <w:b w:val="0"/>
          <w:bCs w:val="0"/>
          <w:spacing w:val="-5"/>
          <w:sz w:val="32"/>
          <w:szCs w:val="32"/>
          <w:lang w:val="en-US" w:eastAsia="zh-CN"/>
        </w:rPr>
        <w:t>2</w:t>
      </w:r>
      <w:r>
        <w:rPr>
          <w:rFonts w:hint="default" w:ascii="Times New Roman" w:hAnsi="Times New Roman" w:eastAsia="楷体_GB2312" w:cs="Times New Roman"/>
          <w:b w:val="0"/>
          <w:bCs w:val="0"/>
          <w:spacing w:val="-5"/>
          <w:sz w:val="32"/>
          <w:szCs w:val="32"/>
        </w:rPr>
        <w:t>日在天水市第七届人民代表大会第</w:t>
      </w:r>
      <w:r>
        <w:rPr>
          <w:rFonts w:hint="default" w:ascii="Times New Roman" w:hAnsi="Times New Roman" w:eastAsia="楷体_GB2312" w:cs="Times New Roman"/>
          <w:b w:val="0"/>
          <w:bCs w:val="0"/>
          <w:spacing w:val="-5"/>
          <w:sz w:val="32"/>
          <w:szCs w:val="32"/>
          <w:lang w:eastAsia="zh-CN"/>
        </w:rPr>
        <w:t>六</w:t>
      </w:r>
      <w:r>
        <w:rPr>
          <w:rFonts w:hint="default" w:ascii="Times New Roman" w:hAnsi="Times New Roman" w:eastAsia="楷体_GB2312" w:cs="Times New Roman"/>
          <w:b w:val="0"/>
          <w:bCs w:val="0"/>
          <w:spacing w:val="-5"/>
          <w:sz w:val="32"/>
          <w:szCs w:val="32"/>
        </w:rPr>
        <w:t>次会议上</w:t>
      </w:r>
    </w:p>
    <w:p w14:paraId="62984B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楷体_GB2312" w:cs="Times New Roman"/>
          <w:b w:val="0"/>
          <w:bCs w:val="0"/>
          <w:sz w:val="32"/>
          <w:szCs w:val="32"/>
        </w:rPr>
      </w:pPr>
      <w:bookmarkStart w:id="0" w:name="_GoBack"/>
      <w:bookmarkEnd w:id="0"/>
    </w:p>
    <w:p w14:paraId="13EBB44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天水市财政局</w:t>
      </w:r>
    </w:p>
    <w:p w14:paraId="1E1B63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z w:val="32"/>
          <w:szCs w:val="32"/>
        </w:rPr>
      </w:pPr>
    </w:p>
    <w:p w14:paraId="5BFC1A95">
      <w:pPr>
        <w:keepNext w:val="0"/>
        <w:keepLines w:val="0"/>
        <w:pageBreakBefore w:val="0"/>
        <w:widowControl w:val="0"/>
        <w:kinsoku/>
        <w:wordWrap/>
        <w:overflowPunct/>
        <w:topLinePunct w:val="0"/>
        <w:autoSpaceDE/>
        <w:autoSpaceDN/>
        <w:bidi w:val="0"/>
        <w:adjustRightInd/>
        <w:snapToGrid/>
        <w:spacing w:line="576" w:lineRule="exact"/>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val="0"/>
          <w:bCs w:val="0"/>
          <w:sz w:val="32"/>
          <w:szCs w:val="32"/>
        </w:rPr>
        <w:t>各位代表：</w:t>
      </w:r>
    </w:p>
    <w:p w14:paraId="27DC2B49">
      <w:pPr>
        <w:keepNext w:val="0"/>
        <w:keepLines w:val="0"/>
        <w:pageBreakBefore w:val="0"/>
        <w:widowControl w:val="0"/>
        <w:kinsoku/>
        <w:wordWrap/>
        <w:overflowPunct/>
        <w:topLinePunct w:val="0"/>
        <w:autoSpaceDE/>
        <w:autoSpaceDN/>
        <w:bidi w:val="0"/>
        <w:adjustRightInd/>
        <w:snapToGrid/>
        <w:spacing w:line="576" w:lineRule="exact"/>
        <w:ind w:firstLine="624"/>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受市人民政府委托，现将2020年全市财政预算执行情况和2021年全市及市级财政预算草案提请市七届人大六次会议审议，并请各位政协委员和其他列席人员提出意见。</w:t>
      </w:r>
    </w:p>
    <w:p w14:paraId="3842D33B">
      <w:pPr>
        <w:keepNext w:val="0"/>
        <w:keepLines w:val="0"/>
        <w:pageBreakBefore w:val="0"/>
        <w:widowControl w:val="0"/>
        <w:kinsoku/>
        <w:wordWrap/>
        <w:overflowPunct/>
        <w:topLinePunct w:val="0"/>
        <w:autoSpaceDE/>
        <w:autoSpaceDN/>
        <w:bidi w:val="0"/>
        <w:adjustRightInd/>
        <w:snapToGrid/>
        <w:spacing w:line="576" w:lineRule="exact"/>
        <w:ind w:firstLine="624"/>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一、2020年预算执行情况</w:t>
      </w:r>
    </w:p>
    <w:p w14:paraId="7AE055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2020年，面对新冠肺炎疫情严重冲击，在市委的坚强领导下，全市财政坚持以习近平新时代中国特色社会主义思想为指导，全面贯彻党的十九大和十九届二中、三中、四中、五中全会精神，全面落实习近平总书记对甘肃重要讲话和指示精神，坚决执行市七届人大五次会议关于预算的决议，坚持稳中求进工作总基调，牢固树立过紧日子思想，落实“六稳”“六保”和高质量发展工作要求，积极组织开展“财政精细化管理年”活动，持续强化财政预算执行管理和调控，较好地完成了年初确定的财政收支目标，保障和促进了全市经济和社会事业平稳健康发展。</w:t>
      </w:r>
    </w:p>
    <w:p w14:paraId="3D5766DF">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（一）全市预算执行情况</w:t>
      </w:r>
    </w:p>
    <w:p w14:paraId="26B60A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2020年，全市大口径财政收入251.52亿元，占预算的115.99%，增长31.95%，其中：市级大口径财政收入149.27亿元，占预算的114.88%，增长43.08%。全市财政支出479.78亿元，增长23.65%，其中：市级财政支出150.22亿元，增长50.23%。</w:t>
      </w:r>
    </w:p>
    <w:p w14:paraId="4AC722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color w:val="000000"/>
          <w:kern w:val="0"/>
          <w:sz w:val="32"/>
          <w:szCs w:val="32"/>
          <w:lang w:bidi="ar"/>
        </w:rPr>
        <w:t>全市一般公共预算</w:t>
      </w:r>
      <w:r>
        <w:rPr>
          <w:rFonts w:hint="default" w:ascii="Times New Roman" w:hAnsi="Times New Roman" w:eastAsia="仿宋_GB2312" w:cs="Times New Roman"/>
          <w:color w:val="000000"/>
          <w:kern w:val="0"/>
          <w:sz w:val="32"/>
          <w:szCs w:val="32"/>
          <w:lang w:bidi="ar"/>
        </w:rPr>
        <w:t>收入53.91亿元，占预算的100.78%，增长7.06%。加上上级财政税收返还和补助收入264.8亿元，上年结转收入、调入资金、动用预算稳定调节基金等37.53亿元，以及地方政府一般债券转贷收入8.77亿元，收入总量为365.01亿元。全市一般公共预算支出351.76亿元，完成变动预算的99.7%，增长12.96%。加上上解省级支出4.69亿元，地方政府一般债券还本支出2.76亿元，安排预算稳定调节基金、增设预算周转金等4.48亿元，结转下年支出1.32亿元，支出总量为365.01亿元。全市一般公共预算收支执行平衡。</w:t>
      </w:r>
    </w:p>
    <w:p w14:paraId="29B746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color w:val="000000"/>
          <w:kern w:val="0"/>
          <w:sz w:val="32"/>
          <w:szCs w:val="32"/>
          <w:lang w:bidi="ar"/>
        </w:rPr>
        <w:t>全市政府性基金预算</w:t>
      </w:r>
      <w:r>
        <w:rPr>
          <w:rFonts w:hint="default" w:ascii="Times New Roman" w:hAnsi="Times New Roman" w:eastAsia="仿宋_GB2312" w:cs="Times New Roman"/>
          <w:color w:val="000000"/>
          <w:kern w:val="0"/>
          <w:sz w:val="32"/>
          <w:szCs w:val="32"/>
          <w:lang w:bidi="ar"/>
        </w:rPr>
        <w:t>收入128.49亿元，占预算的135.86%，增长70.88%。加上上级财政补助收入10.79亿元，地方政府专项债券转贷收入32.56亿元，动用上年结转收入1.42亿元，收入总量为173.26亿元。全市政府性基金预算支出128亿元，完成变动预算的99.59%，增长67.16%。加上上解省级支出0.12亿元，地方政府专项债券还本支出9.84亿元，调出资金31.69亿元，结转下年支出3.61亿元，支出总量为173.26亿元。全市政府性基金预算收支执行平衡。</w:t>
      </w:r>
    </w:p>
    <w:p w14:paraId="17C22A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color w:val="000000"/>
          <w:kern w:val="0"/>
          <w:sz w:val="32"/>
          <w:szCs w:val="32"/>
          <w:lang w:bidi="ar"/>
        </w:rPr>
        <w:t>全市国有资本经营预算</w:t>
      </w:r>
      <w:r>
        <w:rPr>
          <w:rFonts w:hint="default" w:ascii="Times New Roman" w:hAnsi="Times New Roman" w:eastAsia="仿宋_GB2312" w:cs="Times New Roman"/>
          <w:color w:val="000000"/>
          <w:kern w:val="0"/>
          <w:sz w:val="32"/>
          <w:szCs w:val="32"/>
          <w:lang w:bidi="ar"/>
        </w:rPr>
        <w:t>收入1048万元，占预算的100.38%。加上上级财政补助收入148万元，动用上年结转收入1106万元，收入总量为2302万元。全市国有资本经营预算支出219万元，完成预算的227.66%。加上调出资金1086万元，结转下年支出997万元，支出总量为2302万元。全市国有资本经营预算收支执行平衡。</w:t>
      </w:r>
    </w:p>
    <w:p w14:paraId="22CCD1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全市社会保险基金预算收入113.96亿元，占预算的111.94%，增长9.11%。其中：保险费收入49.88亿元，财政补贴收入26.23亿元，上级补助35.88亿元，利息收入0.6亿元，其他收入0.25亿元，转移收入1.12亿元。全市社会保险基金支出116.37亿元，完成预算的115.28%，增长19.28%，其中：企业职工基本养老保险52.68亿元，城乡居民基本医疗保险31.45亿元，职工基本医疗保险8.22亿元，机关事业单位基本养老保险22.56亿元，失业保险1.08亿元，工伤保险0.38亿元。当年收支结余-2.41亿元，年末滚存结余36.33亿元。</w:t>
      </w:r>
    </w:p>
    <w:p w14:paraId="0FAF70B8">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楷体_GB2312" w:cs="Times New Roman"/>
          <w:bCs/>
          <w:color w:val="000000"/>
          <w:sz w:val="32"/>
          <w:szCs w:val="32"/>
        </w:rPr>
        <w:t>（二）市级预算执行情况</w:t>
      </w:r>
    </w:p>
    <w:p w14:paraId="76AC35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color w:val="000000"/>
          <w:kern w:val="0"/>
          <w:sz w:val="32"/>
          <w:szCs w:val="32"/>
          <w:lang w:bidi="ar"/>
        </w:rPr>
        <w:t>市级一般公共预算</w:t>
      </w:r>
      <w:r>
        <w:rPr>
          <w:rFonts w:hint="default" w:ascii="Times New Roman" w:hAnsi="Times New Roman" w:eastAsia="仿宋_GB2312" w:cs="Times New Roman"/>
          <w:color w:val="000000"/>
          <w:kern w:val="0"/>
          <w:sz w:val="32"/>
          <w:szCs w:val="32"/>
          <w:lang w:bidi="ar"/>
        </w:rPr>
        <w:t>收入19.19亿元，占预算的100.07%，增长6.16%。加上上级财政税收返还和补助收入40.37亿元，上年结转收入、调入资金、动用预算稳定调节基金等24.15亿元，以及地方政府一般债券转贷收入2亿元，收入总量为85.71亿元。市级一般公共预算支出76.66亿元，完成变动预算的99.99%，增长14.79%。加上上解省级支出-1.35亿元，地方政府一般债券还本支出0.85亿元，安排预算稳定调节基金3.06亿元，结转下年支出0.89亿元，市对县区补助5.6亿元，支出总量为85.71亿元。市级一般公共预算收支执行平衡。</w:t>
      </w:r>
    </w:p>
    <w:p w14:paraId="7A18C9FE">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color w:val="000000"/>
          <w:kern w:val="0"/>
          <w:sz w:val="32"/>
          <w:szCs w:val="32"/>
          <w:lang w:bidi="ar"/>
        </w:rPr>
        <w:t>市级政府性基金预算</w:t>
      </w:r>
      <w:r>
        <w:rPr>
          <w:rFonts w:hint="default" w:ascii="Times New Roman" w:hAnsi="Times New Roman" w:eastAsia="仿宋_GB2312" w:cs="Times New Roman"/>
          <w:color w:val="000000"/>
          <w:kern w:val="0"/>
          <w:sz w:val="32"/>
          <w:szCs w:val="32"/>
          <w:lang w:bidi="ar"/>
        </w:rPr>
        <w:t>收入90.33亿元，占预算的129%，增长86.54%。加上上级财政补助收入1.31亿元，地方政府专项债券转贷收入13.25亿元，动用上年结转收入0.27亿元，收入总量为105.16亿元。市级政府性基金预算支出73.55亿元，完成变动预算的91.4%，增长121.86%。加上地方政府专项债券还本支出5.15亿元，调出资金20.32亿元，结转下年支出3.22亿元，市对县区补助2.92亿元，支出总量为105.16亿元。市级政府性基金预算收支执行平衡。</w:t>
      </w:r>
    </w:p>
    <w:p w14:paraId="22B195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color w:val="000000"/>
          <w:kern w:val="0"/>
          <w:sz w:val="32"/>
          <w:szCs w:val="32"/>
          <w:lang w:bidi="ar"/>
        </w:rPr>
        <w:t>市级国有资本经营预算</w:t>
      </w:r>
      <w:r>
        <w:rPr>
          <w:rFonts w:hint="default" w:ascii="Times New Roman" w:hAnsi="Times New Roman" w:eastAsia="仿宋_GB2312" w:cs="Times New Roman"/>
          <w:color w:val="000000"/>
          <w:kern w:val="0"/>
          <w:sz w:val="32"/>
          <w:szCs w:val="32"/>
          <w:lang w:bidi="ar"/>
        </w:rPr>
        <w:t>收入996万元，占预算的99%。加上动用上年结转收入1106万元，收入总量为2102万元。市级国有资本经营预算支出47万元，加上调出资金1065万元，结转下年支出990万元，支出总量为2102万元。市级国有资本经营预算收支执行平衡。</w:t>
      </w:r>
    </w:p>
    <w:p w14:paraId="533BBF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市级社会保险基金预算收入88.26亿元，其中：保险费收入32.44亿元，财政补贴收入18.29亿元，上级补助35.88亿元，利息收入0.31亿元，其他收入0.25亿元，转移收入1.09亿元。市级社会保险基金支出90.29亿元，其中：企业职工基本养老保险52.68亿元，城乡居民基本医疗保险21.78亿元，职工基本医疗保险8.22亿元，机关事业单位基本养老保险6.15亿元，失业保险1.08亿元，工伤保险0.38亿元。当年收支结余</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2.03亿元，年末滚存结余19.53亿元。</w:t>
      </w:r>
    </w:p>
    <w:p w14:paraId="17FFED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pacing w:val="-6"/>
          <w:kern w:val="0"/>
          <w:sz w:val="32"/>
          <w:szCs w:val="32"/>
          <w:lang w:bidi="ar"/>
        </w:rPr>
      </w:pPr>
      <w:r>
        <w:rPr>
          <w:rFonts w:hint="default" w:ascii="Times New Roman" w:hAnsi="Times New Roman" w:eastAsia="仿宋_GB2312" w:cs="Times New Roman"/>
          <w:bCs/>
          <w:color w:val="000000"/>
          <w:kern w:val="0"/>
          <w:sz w:val="32"/>
          <w:szCs w:val="32"/>
          <w:lang w:bidi="ar"/>
        </w:rPr>
        <w:t>市级财政预算调整情况：</w:t>
      </w:r>
      <w:r>
        <w:rPr>
          <w:rFonts w:hint="default" w:ascii="Times New Roman" w:hAnsi="Times New Roman" w:eastAsia="仿宋_GB2312" w:cs="Times New Roman"/>
          <w:color w:val="000000"/>
          <w:kern w:val="0"/>
          <w:sz w:val="32"/>
          <w:szCs w:val="32"/>
          <w:lang w:bidi="ar"/>
        </w:rPr>
        <w:t>2020年5月，市七届人大常委会第29次会议审查批准了当年政府债券新增额度安排计划和市级预算调整方案，市级一般公共预算支出由年初预算37.65亿元调整为38.85亿元；市级政府性基金预算支出由年初预算62.86亿元调整为67.66亿元。2020年12月，市七届人大常委会第35次</w:t>
      </w:r>
      <w:r>
        <w:rPr>
          <w:rFonts w:hint="default" w:ascii="Times New Roman" w:hAnsi="Times New Roman" w:eastAsia="仿宋_GB2312" w:cs="Times New Roman"/>
          <w:color w:val="000000"/>
          <w:spacing w:val="-4"/>
          <w:kern w:val="0"/>
          <w:sz w:val="32"/>
          <w:szCs w:val="32"/>
          <w:lang w:bidi="ar"/>
        </w:rPr>
        <w:t>会议审查批准了2</w:t>
      </w:r>
      <w:r>
        <w:rPr>
          <w:rFonts w:hint="default" w:ascii="Times New Roman" w:hAnsi="Times New Roman" w:eastAsia="仿宋_GB2312" w:cs="Times New Roman"/>
          <w:color w:val="000000"/>
          <w:spacing w:val="-6"/>
          <w:kern w:val="0"/>
          <w:sz w:val="32"/>
          <w:szCs w:val="32"/>
          <w:lang w:bidi="ar"/>
        </w:rPr>
        <w:t>020年市级预算调整方案，市级一般公共预算支出由市七届人大常委会第29次会议批准的38.85亿元调整为76.69亿元，市级政府性基金预算支出67.66亿元调整为80.47亿元。</w:t>
      </w:r>
    </w:p>
    <w:p w14:paraId="3A54724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楷体_GB2312" w:cs="Times New Roman"/>
          <w:bCs/>
          <w:color w:val="000000"/>
          <w:kern w:val="2"/>
          <w:sz w:val="32"/>
          <w:szCs w:val="32"/>
        </w:rPr>
      </w:pPr>
      <w:r>
        <w:rPr>
          <w:rFonts w:hint="default" w:ascii="Times New Roman" w:hAnsi="Times New Roman" w:eastAsia="楷体_GB2312" w:cs="Times New Roman"/>
          <w:bCs/>
          <w:color w:val="000000"/>
          <w:kern w:val="2"/>
          <w:sz w:val="32"/>
          <w:szCs w:val="32"/>
        </w:rPr>
        <w:t>（三）</w:t>
      </w:r>
      <w:r>
        <w:rPr>
          <w:rFonts w:hint="default" w:ascii="Times New Roman" w:hAnsi="Times New Roman" w:eastAsia="楷体_GB2312" w:cs="Times New Roman"/>
          <w:bCs/>
          <w:color w:val="000000"/>
          <w:sz w:val="32"/>
          <w:szCs w:val="32"/>
        </w:rPr>
        <w:t>预算稳定调节基金情况</w:t>
      </w:r>
    </w:p>
    <w:p w14:paraId="53A49C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根据市县区人大常委会批准的年度财政决算，2019年末全市预算稳定调节基金规模为4.18亿元（其中：市级2.88亿元，县区1.3亿元），2020年全市动用预算稳定调节基金4.18亿元（其中：市级2.88亿元，县区1.3亿元），2020年末全市预算稳定调节基金规模3.54亿元，占全市一般公共预算总支出的1.01%，其中：市级3.06亿元，占当年市级一般公共预算支出的3.99%。全市及市级预算稳定调节基金规模均在本级一般公共预算支出5%之内。</w:t>
      </w:r>
    </w:p>
    <w:p w14:paraId="340B6F2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楷体_GB2312" w:cs="Times New Roman"/>
          <w:bCs/>
          <w:color w:val="000000"/>
          <w:kern w:val="2"/>
          <w:sz w:val="32"/>
          <w:szCs w:val="32"/>
        </w:rPr>
      </w:pPr>
      <w:r>
        <w:rPr>
          <w:rFonts w:hint="default" w:ascii="Times New Roman" w:hAnsi="Times New Roman" w:eastAsia="楷体_GB2312" w:cs="Times New Roman"/>
          <w:bCs/>
          <w:color w:val="000000"/>
          <w:kern w:val="2"/>
          <w:sz w:val="32"/>
          <w:szCs w:val="32"/>
        </w:rPr>
        <w:t>（四）政府债务情况</w:t>
      </w:r>
    </w:p>
    <w:p w14:paraId="4B399D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color w:val="000000"/>
          <w:kern w:val="0"/>
          <w:sz w:val="32"/>
          <w:szCs w:val="32"/>
          <w:lang w:bidi="ar"/>
        </w:rPr>
        <w:t>政府债务限额余额情况</w:t>
      </w:r>
      <w:r>
        <w:rPr>
          <w:rFonts w:hint="default" w:ascii="Times New Roman" w:hAnsi="Times New Roman" w:eastAsia="仿宋_GB2312" w:cs="Times New Roman"/>
          <w:color w:val="000000"/>
          <w:kern w:val="0"/>
          <w:sz w:val="32"/>
          <w:szCs w:val="32"/>
          <w:lang w:bidi="ar"/>
        </w:rPr>
        <w:t>：经省政府同意，省财政厅核定全市政府债务限额为207.99亿元，其中：市级69.4亿元（其中</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一般债务30.73亿元，专项债务38.67亿元），县区138.59亿元（其中</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一般债务44.68亿元，专项债务93.91亿元），比上年新增53.14亿元（其中：一般债务8.32亿元，专项债务44.82亿元）。2020年末全市政府债务余额为164.78亿元，其中：市级56.28亿元（其中：一般债务25.83亿元，专项债务30.45亿元）；县区108.5亿元（其中：一般债务39.39亿元，专项债务69.11亿元），市县区政府债务余额均控制在限额以内。</w:t>
      </w:r>
    </w:p>
    <w:p w14:paraId="24466C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color w:val="000000"/>
          <w:kern w:val="0"/>
          <w:sz w:val="32"/>
          <w:szCs w:val="32"/>
          <w:lang w:bidi="ar"/>
        </w:rPr>
        <w:t>政府债券还本付息情况</w:t>
      </w:r>
      <w:r>
        <w:rPr>
          <w:rFonts w:hint="default" w:ascii="Times New Roman" w:hAnsi="Times New Roman" w:eastAsia="仿宋_GB2312" w:cs="Times New Roman"/>
          <w:color w:val="000000"/>
          <w:kern w:val="0"/>
          <w:sz w:val="32"/>
          <w:szCs w:val="32"/>
          <w:lang w:bidi="ar"/>
        </w:rPr>
        <w:t>：2020年全市按照偿债计划将债券还本付息支出列入预算。全市偿还政府债券本金12.59亿元（其</w:t>
      </w:r>
    </w:p>
    <w:p w14:paraId="39E19EA6">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rPr>
          <w:rFonts w:hint="default" w:ascii="Times New Roman" w:hAnsi="Times New Roman" w:cs="Times New Roman"/>
          <w:sz w:val="32"/>
          <w:szCs w:val="32"/>
          <w:lang w:bidi="ar"/>
        </w:rPr>
      </w:pPr>
      <w:r>
        <w:rPr>
          <w:rFonts w:hint="default" w:ascii="Times New Roman" w:hAnsi="Times New Roman" w:eastAsia="仿宋_GB2312" w:cs="Times New Roman"/>
          <w:color w:val="000000"/>
          <w:kern w:val="0"/>
          <w:sz w:val="32"/>
          <w:szCs w:val="32"/>
          <w:lang w:bidi="ar"/>
        </w:rPr>
        <w:t>中：市级6.01亿元，县区6.58亿元），支付政府债券利息4.77</w:t>
      </w:r>
    </w:p>
    <w:p w14:paraId="0530D5CA">
      <w:pPr>
        <w:keepNext w:val="0"/>
        <w:keepLines w:val="0"/>
        <w:pageBreakBefore w:val="0"/>
        <w:widowControl w:val="0"/>
        <w:kinsoku/>
        <w:wordWrap/>
        <w:overflowPunct/>
        <w:topLinePunct w:val="0"/>
        <w:autoSpaceDE/>
        <w:autoSpaceDN/>
        <w:bidi w:val="0"/>
        <w:adjustRightInd/>
        <w:snapToGrid/>
        <w:spacing w:line="576" w:lineRule="exact"/>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亿元（其中：市级1.5亿元，县区3.27亿元）。</w:t>
      </w:r>
    </w:p>
    <w:p w14:paraId="1F8DFB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以上2020年相关数据为初步汇总数，决算后将根据实际情况对相关数据做相应调整，届时再按程序向市人大常委会报告。</w:t>
      </w:r>
    </w:p>
    <w:p w14:paraId="58BBC3E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2"/>
        <w:jc w:val="both"/>
        <w:rPr>
          <w:rFonts w:hint="default" w:ascii="Times New Roman" w:hAnsi="Times New Roman" w:eastAsia="楷体_GB2312" w:cs="Times New Roman"/>
          <w:bCs/>
          <w:color w:val="000000"/>
          <w:kern w:val="2"/>
          <w:sz w:val="32"/>
          <w:szCs w:val="32"/>
        </w:rPr>
      </w:pPr>
      <w:r>
        <w:rPr>
          <w:rFonts w:hint="default" w:ascii="Times New Roman" w:hAnsi="Times New Roman" w:eastAsia="楷体_GB2312" w:cs="Times New Roman"/>
          <w:bCs/>
          <w:color w:val="000000"/>
          <w:kern w:val="2"/>
          <w:sz w:val="32"/>
          <w:szCs w:val="32"/>
        </w:rPr>
        <w:t>（五）执行市人大决议和财政重点工作情况</w:t>
      </w:r>
    </w:p>
    <w:p w14:paraId="010685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2020年，全市各级人民政府及财政部门认真贯彻《预算法》和《关于人大预算审查监督重点向支出预算和政策拓展的指导意见》，认真落实市人大预算决议和审议意见，以更大的积极扶持政策对冲疫情影响，从支出预算的总量和结构、重点支出与重大投资项目、部门预算、转移支付和政府债务等方面入手，结合落实审计整改，聚焦热点难点问题，持续加强财政规范化、精细化管理，着力提高支出预算的科学性、针对性、有效性，全力保障中央、省、市各项决策部署落实。</w:t>
      </w:r>
    </w:p>
    <w:p w14:paraId="708E0F0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围绕落实过“紧日子”，聚</w:t>
      </w:r>
      <w:r>
        <w:rPr>
          <w:rFonts w:hint="eastAsia" w:eastAsia="仿宋_GB2312" w:cs="Times New Roman"/>
          <w:bCs/>
          <w:color w:val="000000"/>
          <w:sz w:val="32"/>
          <w:szCs w:val="32"/>
          <w:lang w:val="en-US" w:eastAsia="zh-CN"/>
        </w:rPr>
        <w:t>力</w:t>
      </w:r>
      <w:r>
        <w:rPr>
          <w:rFonts w:hint="default" w:ascii="Times New Roman" w:hAnsi="Times New Roman" w:eastAsia="仿宋_GB2312" w:cs="Times New Roman"/>
          <w:bCs/>
          <w:color w:val="000000"/>
          <w:sz w:val="32"/>
          <w:szCs w:val="32"/>
        </w:rPr>
        <w:t>支持“六稳”“六保”</w:t>
      </w:r>
    </w:p>
    <w:p w14:paraId="651DBF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为有效应对疫情冲击，直面财政收支严峻形势，落实国务院提出“各级政府必须真正过紧日子”的要求，及时制定印发《天水市关于厉行节俭过紧日子加强财政支出管理的通知》（市委办发〔2020〕28号），充分发挥财政调控作用，全市“三公”经费实现“只减不增”，会议费、培训费、非刚性支出基本实现预期压减目标。积极统筹财政资金，进一步优化支出结构，将压减一般性支出节省的资金，优先用于保障民生支出，加大产业发展支持力度；完善预算评审制度，强化财政评审结果运用，将评审核减资金收回财政统筹安排，全力支持“六稳”“六保”工作。</w:t>
      </w:r>
      <w:r>
        <w:rPr>
          <w:rFonts w:hint="default" w:ascii="Times New Roman" w:hAnsi="Times New Roman" w:eastAsia="仿宋_GB2312" w:cs="Times New Roman"/>
          <w:bCs/>
          <w:color w:val="000000"/>
          <w:kern w:val="0"/>
          <w:sz w:val="32"/>
          <w:szCs w:val="32"/>
          <w:lang w:bidi="ar"/>
        </w:rPr>
        <w:t>一是</w:t>
      </w:r>
      <w:r>
        <w:rPr>
          <w:rFonts w:hint="default" w:ascii="Times New Roman" w:hAnsi="Times New Roman" w:eastAsia="仿宋_GB2312" w:cs="Times New Roman"/>
          <w:color w:val="000000"/>
          <w:kern w:val="0"/>
          <w:sz w:val="32"/>
          <w:szCs w:val="32"/>
          <w:lang w:bidi="ar"/>
        </w:rPr>
        <w:t>支持保居民就业。全市落实就业补助资金3.42亿元，加大稳岗返还支持力度，放宽申领条件，提高返还标准，着力稳企业保就业。支持实施农村义务教育学校教师特岗计划、“三支一扶”计划选拔工作，吸纳高校毕业生就业。继续用好失业保险基金，适当提高补贴标准。</w:t>
      </w:r>
      <w:r>
        <w:rPr>
          <w:rFonts w:hint="default" w:ascii="Times New Roman" w:hAnsi="Times New Roman" w:eastAsia="仿宋_GB2312" w:cs="Times New Roman"/>
          <w:bCs/>
          <w:color w:val="000000"/>
          <w:kern w:val="0"/>
          <w:sz w:val="32"/>
          <w:szCs w:val="32"/>
          <w:lang w:bidi="ar"/>
        </w:rPr>
        <w:t>二是</w:t>
      </w:r>
      <w:r>
        <w:rPr>
          <w:rFonts w:hint="default" w:ascii="Times New Roman" w:hAnsi="Times New Roman" w:eastAsia="仿宋_GB2312" w:cs="Times New Roman"/>
          <w:color w:val="000000"/>
          <w:kern w:val="0"/>
          <w:sz w:val="32"/>
          <w:szCs w:val="32"/>
          <w:lang w:bidi="ar"/>
        </w:rPr>
        <w:t>支持保基本民生。全市教育支出64.5亿元，支持改善学校基本办学条件，落实教育各项学生资助政策，加快发展公平优质教育；市级重点支持职教园区、实验小学、特教学校、农校、卫校、体校、电大及党校基础设施建设。全市落实养老保险补助资金9.88亿元，稳步提高养老保障水平。全市落实城乡居民医保补助资金20.65亿元，保障基本医疗需求；进一步加大对公立医院床位补贴和药品加成补助；积极支持传染病医院建设和核酸检测能力</w:t>
      </w:r>
      <w:r>
        <w:rPr>
          <w:rFonts w:hint="eastAsia" w:eastAsia="仿宋_GB2312" w:cs="Times New Roman"/>
          <w:color w:val="000000"/>
          <w:kern w:val="0"/>
          <w:sz w:val="32"/>
          <w:szCs w:val="32"/>
          <w:lang w:eastAsia="zh-CN" w:bidi="ar"/>
        </w:rPr>
        <w:t>提升</w:t>
      </w:r>
      <w:r>
        <w:rPr>
          <w:rFonts w:hint="default" w:ascii="Times New Roman" w:hAnsi="Times New Roman" w:eastAsia="仿宋_GB2312" w:cs="Times New Roman"/>
          <w:color w:val="000000"/>
          <w:kern w:val="0"/>
          <w:sz w:val="32"/>
          <w:szCs w:val="32"/>
          <w:lang w:bidi="ar"/>
        </w:rPr>
        <w:t>；及时调整预算安排资金保障疫情防控所需物资。全市对个人和家庭补助资金14.06亿元，支持适度扩大低保和临时救助政策范围，保障和解决群众生产生活困难。全市保障性安居工程财政支出9.56亿元，支持各类棚户区改造，加快城镇老旧小区改造。</w:t>
      </w:r>
      <w:r>
        <w:rPr>
          <w:rFonts w:hint="default" w:ascii="Times New Roman" w:hAnsi="Times New Roman" w:eastAsia="仿宋_GB2312" w:cs="Times New Roman"/>
          <w:bCs/>
          <w:color w:val="000000"/>
          <w:kern w:val="0"/>
          <w:sz w:val="32"/>
          <w:szCs w:val="32"/>
          <w:lang w:bidi="ar"/>
        </w:rPr>
        <w:t>三是</w:t>
      </w:r>
      <w:r>
        <w:rPr>
          <w:rFonts w:hint="default" w:ascii="Times New Roman" w:hAnsi="Times New Roman" w:eastAsia="仿宋_GB2312" w:cs="Times New Roman"/>
          <w:color w:val="000000"/>
          <w:kern w:val="0"/>
          <w:sz w:val="32"/>
          <w:szCs w:val="32"/>
          <w:lang w:bidi="ar"/>
        </w:rPr>
        <w:t>支持保市场主体。市财政积极筹措资金1亿元，支持促消费奖补活动顺利开展，竭力撬动全社会消费增长。进一步加大减税降费政策落实力度，严禁征收“过头税费”，确保企业切实享受政策红利，全市新增减税降费9.93亿元。高效利用中小企业创业创新投资基金、降低企业融资成本。落实小微企业减半收取融资担保、再担保费政策，推动小微企业融资担保费率持续下降。加大担保贷款贴息支持力度，提高贷款额度上限，推动担保贷款增量扩面。</w:t>
      </w:r>
      <w:r>
        <w:rPr>
          <w:rFonts w:hint="default" w:ascii="Times New Roman" w:hAnsi="Times New Roman" w:eastAsia="仿宋_GB2312" w:cs="Times New Roman"/>
          <w:bCs/>
          <w:color w:val="000000"/>
          <w:kern w:val="0"/>
          <w:sz w:val="32"/>
          <w:szCs w:val="32"/>
          <w:lang w:bidi="ar"/>
        </w:rPr>
        <w:t>四是</w:t>
      </w:r>
      <w:r>
        <w:rPr>
          <w:rFonts w:hint="default" w:ascii="Times New Roman" w:hAnsi="Times New Roman" w:eastAsia="仿宋_GB2312" w:cs="Times New Roman"/>
          <w:color w:val="000000"/>
          <w:kern w:val="0"/>
          <w:sz w:val="32"/>
          <w:szCs w:val="32"/>
          <w:lang w:bidi="ar"/>
        </w:rPr>
        <w:t>支持保粮食能源安全。全市粮油物资储备支出1.76亿元，积极支持粮库搬迁扩建、粮食质检体系建设，补充粮食风险基金，尽力保障肉菜储备所需资金。同时，大力支持推进高标准农田建设，不断夯实农业生产基础，提升粮食安全保障能力。</w:t>
      </w:r>
      <w:r>
        <w:rPr>
          <w:rFonts w:hint="default" w:ascii="Times New Roman" w:hAnsi="Times New Roman" w:eastAsia="仿宋_GB2312" w:cs="Times New Roman"/>
          <w:bCs/>
          <w:color w:val="000000"/>
          <w:kern w:val="0"/>
          <w:sz w:val="32"/>
          <w:szCs w:val="32"/>
          <w:lang w:bidi="ar"/>
        </w:rPr>
        <w:t>五是</w:t>
      </w:r>
      <w:r>
        <w:rPr>
          <w:rFonts w:hint="default" w:ascii="Times New Roman" w:hAnsi="Times New Roman" w:eastAsia="仿宋_GB2312" w:cs="Times New Roman"/>
          <w:color w:val="000000"/>
          <w:kern w:val="0"/>
          <w:sz w:val="32"/>
          <w:szCs w:val="32"/>
          <w:lang w:bidi="ar"/>
        </w:rPr>
        <w:t>支持保产业链供应链稳定。市级安排17.36亿元，支持提高中小企业科技创新支撑能力建设，支持海林厂、红山厂、岐黄药业、长城果汁、天河酒厂、锻压公司等企业出城入园，积极注入东旭合作项目资本金和中小企业</w:t>
      </w:r>
      <w:r>
        <w:rPr>
          <w:rFonts w:hint="eastAsia" w:eastAsia="仿宋_GB2312" w:cs="Times New Roman"/>
          <w:color w:val="000000"/>
          <w:kern w:val="0"/>
          <w:sz w:val="32"/>
          <w:szCs w:val="32"/>
          <w:lang w:eastAsia="zh-CN" w:bidi="ar"/>
        </w:rPr>
        <w:t>创业</w:t>
      </w:r>
      <w:r>
        <w:rPr>
          <w:rFonts w:hint="default" w:ascii="Times New Roman" w:hAnsi="Times New Roman" w:eastAsia="仿宋_GB2312" w:cs="Times New Roman"/>
          <w:color w:val="000000"/>
          <w:kern w:val="0"/>
          <w:sz w:val="32"/>
          <w:szCs w:val="32"/>
          <w:lang w:bidi="ar"/>
        </w:rPr>
        <w:t>创新投资基金，支持制造业提质增效加快发展。</w:t>
      </w:r>
      <w:r>
        <w:rPr>
          <w:rFonts w:hint="default" w:ascii="Times New Roman" w:hAnsi="Times New Roman" w:eastAsia="仿宋_GB2312" w:cs="Times New Roman"/>
          <w:bCs/>
          <w:color w:val="000000"/>
          <w:kern w:val="0"/>
          <w:sz w:val="32"/>
          <w:szCs w:val="32"/>
          <w:lang w:bidi="ar"/>
        </w:rPr>
        <w:t>六是</w:t>
      </w:r>
      <w:r>
        <w:rPr>
          <w:rFonts w:hint="default" w:ascii="Times New Roman" w:hAnsi="Times New Roman" w:eastAsia="仿宋_GB2312" w:cs="Times New Roman"/>
          <w:color w:val="000000"/>
          <w:kern w:val="0"/>
          <w:sz w:val="32"/>
          <w:szCs w:val="32"/>
          <w:lang w:bidi="ar"/>
        </w:rPr>
        <w:t>支持保基层运转。坚持按“三保”支出的优先顺序做好预算安排和库款调度，不断完善事前审核、事中监控、事后处置的“三保”预算管理工作机制，切实加大对县区财力支持力度，切实兜牢“三保”支出底线。</w:t>
      </w:r>
    </w:p>
    <w:p w14:paraId="78750DF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default"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围绕打好“三大攻坚战”，聚</w:t>
      </w:r>
      <w:r>
        <w:rPr>
          <w:rFonts w:hint="eastAsia" w:eastAsia="仿宋_GB2312" w:cs="Times New Roman"/>
          <w:bCs/>
          <w:color w:val="000000"/>
          <w:sz w:val="32"/>
          <w:szCs w:val="32"/>
          <w:lang w:val="en-US" w:eastAsia="zh-CN"/>
        </w:rPr>
        <w:t>力</w:t>
      </w:r>
      <w:r>
        <w:rPr>
          <w:rFonts w:hint="default" w:ascii="Times New Roman" w:hAnsi="Times New Roman" w:eastAsia="仿宋_GB2312" w:cs="Times New Roman"/>
          <w:bCs/>
          <w:color w:val="000000"/>
          <w:sz w:val="32"/>
          <w:szCs w:val="32"/>
        </w:rPr>
        <w:t>支持补短板强弱项</w:t>
      </w:r>
    </w:p>
    <w:p w14:paraId="64DE8CE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Cs/>
          <w:color w:val="000000"/>
          <w:sz w:val="32"/>
          <w:szCs w:val="32"/>
          <w:lang w:bidi="ar"/>
        </w:rPr>
        <w:t>一是</w:t>
      </w:r>
      <w:r>
        <w:rPr>
          <w:rFonts w:hint="default" w:ascii="Times New Roman" w:hAnsi="Times New Roman" w:eastAsia="仿宋_GB2312" w:cs="Times New Roman"/>
          <w:color w:val="000000"/>
          <w:sz w:val="32"/>
          <w:szCs w:val="32"/>
          <w:lang w:bidi="ar"/>
        </w:rPr>
        <w:t>全面保障决战决胜脱贫攻坚资金需求。2020年全市中央省级专项扶贫资金投入20.15亿元，市县区本级投入专项扶贫资金6.86亿元；整合涉农资金24.74亿元，落实东西部扶贫协作资金2.57亿元，及时调整扶贫资金投向，优化资金用途，重点对受疫情影响较重的产业扶贫、村级公益性岗位等予以支持。进一步加大挂牌督战村脱贫攻坚资金支持力度，支持彻底解决“苦咸水”问题。进一步强化财政扶贫资金监管，优化资金动态监控平台功能，推进扶贫项目资金全过程绩效管理。积极研究巩固脱贫成果、解决相对贫困的财政支持政策，推动脱贫攻坚与乡村振兴有效衔接。</w:t>
      </w:r>
      <w:r>
        <w:rPr>
          <w:rFonts w:hint="default" w:ascii="Times New Roman" w:hAnsi="Times New Roman" w:eastAsia="仿宋_GB2312" w:cs="Times New Roman"/>
          <w:bCs/>
          <w:color w:val="000000"/>
          <w:sz w:val="32"/>
          <w:szCs w:val="32"/>
          <w:lang w:bidi="ar"/>
        </w:rPr>
        <w:t>二是</w:t>
      </w:r>
      <w:r>
        <w:rPr>
          <w:rFonts w:hint="default" w:ascii="Times New Roman" w:hAnsi="Times New Roman" w:eastAsia="仿宋_GB2312" w:cs="Times New Roman"/>
          <w:color w:val="000000"/>
          <w:sz w:val="32"/>
          <w:szCs w:val="32"/>
          <w:lang w:bidi="ar"/>
        </w:rPr>
        <w:t>坚决支持打好污染防治攻坚战。坚持贯彻“绿水青山就是金山银山”的理念，积极筹措资金，全力推进生态文明建设。2020年全市争取重点生态功能区转移支付5.24亿元，支持生态环境保护治理。统筹各级财政资金，全市安排节能环保支出6.93亿元，支持开展重点生态保护修复，提升区域生态系统服务功能和生态环境质量。市级落实资金0.86亿元，采取以奖代补方式，引导县区实施厕所、垃圾革命，深入推进农村人居环境整治。</w:t>
      </w:r>
      <w:r>
        <w:rPr>
          <w:rFonts w:hint="default" w:ascii="Times New Roman" w:hAnsi="Times New Roman" w:eastAsia="仿宋_GB2312" w:cs="Times New Roman"/>
          <w:bCs/>
          <w:color w:val="000000"/>
          <w:sz w:val="32"/>
          <w:szCs w:val="32"/>
          <w:lang w:bidi="ar"/>
        </w:rPr>
        <w:t>三是</w:t>
      </w:r>
      <w:r>
        <w:rPr>
          <w:rFonts w:hint="default" w:ascii="Times New Roman" w:hAnsi="Times New Roman" w:eastAsia="仿宋_GB2312" w:cs="Times New Roman"/>
          <w:color w:val="000000"/>
          <w:sz w:val="32"/>
          <w:szCs w:val="32"/>
          <w:lang w:bidi="ar"/>
        </w:rPr>
        <w:t>防范化解财政金融风险。2020年全市偿还到期政府债券12.59亿元，争取新增债券37.79亿元，有力支持全市重大项目建设。加强政府隐性债务管理，通过年度预算安排、压减一般性支出等方式筹措资金，落实分年度化解方案，在严禁新增的基础上稳妥化解政府存量隐性债务。2020年末，全市政府债务余额低于省级核定的债务限额，全市政府债务率初步测算约为29%，债务风险总体可控。</w:t>
      </w:r>
    </w:p>
    <w:p w14:paraId="676556E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default"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围绕打造“五个制高点”，聚</w:t>
      </w:r>
      <w:r>
        <w:rPr>
          <w:rFonts w:hint="eastAsia" w:eastAsia="仿宋_GB2312" w:cs="Times New Roman"/>
          <w:bCs/>
          <w:color w:val="000000"/>
          <w:sz w:val="32"/>
          <w:szCs w:val="32"/>
          <w:lang w:val="en-US" w:eastAsia="zh-CN"/>
        </w:rPr>
        <w:t>力</w:t>
      </w:r>
      <w:r>
        <w:rPr>
          <w:rFonts w:hint="default" w:ascii="Times New Roman" w:hAnsi="Times New Roman" w:eastAsia="仿宋_GB2312" w:cs="Times New Roman"/>
          <w:bCs/>
          <w:color w:val="000000"/>
          <w:sz w:val="32"/>
          <w:szCs w:val="32"/>
        </w:rPr>
        <w:t>支持经济高质量发展</w:t>
      </w:r>
    </w:p>
    <w:p w14:paraId="12E91E8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按照省委省政府提出新时代甘肃融入“一带一路”建设打造“五个制高点”规划精神，积极支持推动天水在新时代西部大开发形成新格局中展现新作为、实现新突破。</w:t>
      </w:r>
      <w:r>
        <w:rPr>
          <w:rFonts w:hint="default" w:ascii="Times New Roman" w:hAnsi="Times New Roman" w:eastAsia="仿宋_GB2312" w:cs="Times New Roman"/>
          <w:bCs/>
          <w:color w:val="000000"/>
          <w:sz w:val="32"/>
          <w:szCs w:val="32"/>
          <w:lang w:bidi="ar"/>
        </w:rPr>
        <w:t>一是</w:t>
      </w:r>
      <w:r>
        <w:rPr>
          <w:rFonts w:hint="default" w:ascii="Times New Roman" w:hAnsi="Times New Roman" w:eastAsia="仿宋_GB2312" w:cs="Times New Roman"/>
          <w:color w:val="000000"/>
          <w:sz w:val="32"/>
          <w:szCs w:val="32"/>
          <w:lang w:bidi="ar"/>
        </w:rPr>
        <w:t>支持打造“一带一路”文化制高点。全市文化旅游支出6.61亿元，大力支持市博物馆、图书馆、文化馆等重大文化工程建设，支持麦积山大景区、天水大剧院、麦积山景区游客服务中心等旅游重大工程建设，推动天水日报社、电视台、剧团等文化传媒机构转型发展，积极扶持文化旅游首位产业发展。</w:t>
      </w:r>
      <w:r>
        <w:rPr>
          <w:rFonts w:hint="default" w:ascii="Times New Roman" w:hAnsi="Times New Roman" w:eastAsia="仿宋_GB2312" w:cs="Times New Roman"/>
          <w:bCs/>
          <w:color w:val="000000"/>
          <w:sz w:val="32"/>
          <w:szCs w:val="32"/>
          <w:lang w:bidi="ar"/>
        </w:rPr>
        <w:t>二是</w:t>
      </w:r>
      <w:r>
        <w:rPr>
          <w:rFonts w:hint="default" w:ascii="Times New Roman" w:hAnsi="Times New Roman" w:eastAsia="仿宋_GB2312" w:cs="Times New Roman"/>
          <w:color w:val="000000"/>
          <w:sz w:val="32"/>
          <w:szCs w:val="32"/>
          <w:lang w:bidi="ar"/>
        </w:rPr>
        <w:t>支持打造“一带一路”枢纽制高点。全市交通运输支出9.98亿元，大力支持高铁南站、高速公路、机场等项目建设，加大公交运营补贴力度，扶持打造陇东南交通、商贸物流枢纽体系建设。</w:t>
      </w:r>
      <w:r>
        <w:rPr>
          <w:rFonts w:hint="default" w:ascii="Times New Roman" w:hAnsi="Times New Roman" w:eastAsia="仿宋_GB2312" w:cs="Times New Roman"/>
          <w:bCs/>
          <w:color w:val="000000"/>
          <w:sz w:val="32"/>
          <w:szCs w:val="32"/>
          <w:lang w:bidi="ar"/>
        </w:rPr>
        <w:t>三是</w:t>
      </w:r>
      <w:r>
        <w:rPr>
          <w:rFonts w:hint="default" w:ascii="Times New Roman" w:hAnsi="Times New Roman" w:eastAsia="仿宋_GB2312" w:cs="Times New Roman"/>
          <w:color w:val="000000"/>
          <w:sz w:val="32"/>
          <w:szCs w:val="32"/>
          <w:lang w:bidi="ar"/>
        </w:rPr>
        <w:t>支持打造“一带一路”技术制高点。全市科学技术支出1.4亿元，大力支持十大生态产业技术创新体系、培育创新性骨干企业和科技创新服务体系建设，支持天水职教园区建设，打造天水产教融合、校企合作育人新基地。</w:t>
      </w:r>
      <w:r>
        <w:rPr>
          <w:rFonts w:hint="default" w:ascii="Times New Roman" w:hAnsi="Times New Roman" w:eastAsia="仿宋_GB2312" w:cs="Times New Roman"/>
          <w:bCs/>
          <w:color w:val="000000"/>
          <w:sz w:val="32"/>
          <w:szCs w:val="32"/>
          <w:lang w:bidi="ar"/>
        </w:rPr>
        <w:t>四是</w:t>
      </w:r>
      <w:r>
        <w:rPr>
          <w:rFonts w:hint="default" w:ascii="Times New Roman" w:hAnsi="Times New Roman" w:eastAsia="仿宋_GB2312" w:cs="Times New Roman"/>
          <w:color w:val="000000"/>
          <w:sz w:val="32"/>
          <w:szCs w:val="32"/>
          <w:lang w:bidi="ar"/>
        </w:rPr>
        <w:t>支持打造“一带一路”信息制高点。大力支持推动互联网、大数据、5G网络等信息技术在城市建设、商贸物流、人文交流、生态环境等领域深度融合发展，积极支持天水智慧城市建设，推动建设数字天水。</w:t>
      </w:r>
      <w:r>
        <w:rPr>
          <w:rFonts w:hint="default" w:ascii="Times New Roman" w:hAnsi="Times New Roman" w:eastAsia="仿宋_GB2312" w:cs="Times New Roman"/>
          <w:bCs/>
          <w:color w:val="000000"/>
          <w:sz w:val="32"/>
          <w:szCs w:val="32"/>
          <w:lang w:bidi="ar"/>
        </w:rPr>
        <w:t>五是</w:t>
      </w:r>
      <w:r>
        <w:rPr>
          <w:rFonts w:hint="default" w:ascii="Times New Roman" w:hAnsi="Times New Roman" w:eastAsia="仿宋_GB2312" w:cs="Times New Roman"/>
          <w:color w:val="000000"/>
          <w:sz w:val="32"/>
          <w:szCs w:val="32"/>
          <w:lang w:bidi="ar"/>
        </w:rPr>
        <w:t>支持打造“一带一路”生态制高点。全市生态环保支出6.93亿元，继续支持天然林保护、重点流域综合治理等重点生态工程建设，支持加快实施藉河生态环境治理，支持落实河长制、湖长制，支持全域无垃圾治理，持续改善生态环境质量。</w:t>
      </w:r>
    </w:p>
    <w:p w14:paraId="0466442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w:t>
      </w:r>
      <w:r>
        <w:rPr>
          <w:rFonts w:hint="default"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围绕加快“城市更新”，聚</w:t>
      </w:r>
      <w:r>
        <w:rPr>
          <w:rFonts w:hint="eastAsia" w:eastAsia="仿宋_GB2312" w:cs="Times New Roman"/>
          <w:bCs/>
          <w:color w:val="000000"/>
          <w:sz w:val="32"/>
          <w:szCs w:val="32"/>
          <w:lang w:val="en-US" w:eastAsia="zh-CN"/>
        </w:rPr>
        <w:t>力</w:t>
      </w:r>
      <w:r>
        <w:rPr>
          <w:rFonts w:hint="default" w:ascii="Times New Roman" w:hAnsi="Times New Roman" w:eastAsia="仿宋_GB2312" w:cs="Times New Roman"/>
          <w:bCs/>
          <w:color w:val="000000"/>
          <w:sz w:val="32"/>
          <w:szCs w:val="32"/>
        </w:rPr>
        <w:t>支持城乡基础设施建设</w:t>
      </w:r>
    </w:p>
    <w:p w14:paraId="072E09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积极贯彻落实市委关于加快城市更新步伐</w:t>
      </w:r>
      <w:r>
        <w:rPr>
          <w:rFonts w:hint="eastAsia"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提升城市品位完善城市功能</w:t>
      </w:r>
      <w:r>
        <w:rPr>
          <w:rFonts w:hint="eastAsia"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改善群众居住环境提高生活质量的决策部署，科学统筹使用一般公共预算、政府性基金预算、政府债券等财政资金，引导金融机构加大棚户区改造、PPP项目贷款融资力度，积极支持棚户区改造、市政配套设施、城镇老旧小区改造等重大基础设施建设，有效拉动全市经济社会高质量发展。全市城乡社区支出113.04亿元，市级重点支持启动实施秦州区金家庄枣园村片区、东方红片区、罗玉小区片区、北园子片区、秦州新城片区等城市更新改造；支持城区供水供热管道维修改造、工业博物馆、大剧院、商贸城、停车场、名城保护、藉河治理等市政基础设施建设；支持岷山公司、西联蜂业、昌盛等公司出城入园；支持秦州至甘谷武山、三阳川隧道、高铁南站等交通基础设施建设；支持静天高速、秦州新城等项目资本金注入，着力拉动城乡基础设施建设迈入快车道。</w:t>
      </w:r>
    </w:p>
    <w:p w14:paraId="4FF6437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w:t>
      </w:r>
      <w:r>
        <w:rPr>
          <w:rFonts w:hint="default"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围绕优化财政资源配置，聚力开展财政精细化管理</w:t>
      </w:r>
    </w:p>
    <w:p w14:paraId="4E99C7A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 w:cs="Times New Roman"/>
          <w:color w:val="000000"/>
          <w:kern w:val="2"/>
          <w:sz w:val="32"/>
          <w:szCs w:val="32"/>
        </w:rPr>
      </w:pPr>
      <w:r>
        <w:rPr>
          <w:rFonts w:hint="default" w:ascii="Times New Roman" w:hAnsi="Times New Roman" w:eastAsia="仿宋_GB2312" w:cs="Times New Roman"/>
          <w:color w:val="000000"/>
          <w:sz w:val="32"/>
          <w:szCs w:val="32"/>
          <w:lang w:bidi="ar"/>
        </w:rPr>
        <w:t>积极推动全市财政部门在规范化管理基础上进一步提质增</w:t>
      </w:r>
    </w:p>
    <w:p w14:paraId="6FC9F430">
      <w:pPr>
        <w:keepNext w:val="0"/>
        <w:keepLines w:val="0"/>
        <w:pageBreakBefore w:val="0"/>
        <w:widowControl w:val="0"/>
        <w:kinsoku/>
        <w:wordWrap/>
        <w:overflowPunct/>
        <w:topLinePunct w:val="0"/>
        <w:autoSpaceDE/>
        <w:autoSpaceDN/>
        <w:bidi w:val="0"/>
        <w:adjustRightInd/>
        <w:snapToGrid/>
        <w:spacing w:line="576" w:lineRule="exact"/>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效，制定印发了《天水市“财政精细化管理年”活动实施方案》，按照“全面规范透明、标准科学、约束有力”的要求，进一步完善政府预算管理，规范预决算公开，主动接受社会监督。不断强化财政监督管理，在全市各级各类行政事业单位规范实施新的政府会计准则制度，并加强与部门预决算管理、资产管理、内控机制建设和绩效管理的统筹协调，促进全市行政事业单位财务会计人员从“核算型”向“管理型”转变。全面实施预算绩效管理，加强预算绩效评价力度，着力构建“预算编制有目标、预算执行有监控、预算完成有评价、评价结果有反馈、反馈结果有应用”的预算绩效管理机制。着力加强财政内部控制制度建设，提升业务运转流程规范性。推进财政事权和支出责任划分，在认真落实公共服务领域既定改革事项基础上，推进教育、科技、卫生健康、交通、文化、自然资源等领域市与县区财政事权和支出责任划分改革，着力构建财力与事权支出相匹配的资金分担机制，促进各级政府更好地履职尽责。同时，按照财政部、省财政厅的要求，创新财政资金监管模式，搭建直达资金管控系统，建立了财政资金直达基层机制，加强对直达资金预算分解下达、资金支付、惠企利民发放情况的跟踪问效。2020年全市直达资金预算分配下达37.44亿元（其中：市级4.32亿元，县区33.12亿元），支付率达到93%，财政部门工作效率和质量显著提高。</w:t>
      </w:r>
    </w:p>
    <w:p w14:paraId="54E299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总体来看，2020年预算执行情况较好，财政改革管理工作取得新进展，全市财政运行呈现总体平稳、稳中有进、进中固稳的发展态势，成绩来之不易。这是市委坚强领导的结果，是全市人民齐心协力、团结拼搏的结果，也是人大、政协及代表委员指导监督、大力支持的结果。</w:t>
      </w:r>
    </w:p>
    <w:p w14:paraId="68B895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同时，预算执行和财政工作中还面临一些困难和挑战，主要是：财政收入低速增长，财源结构单一，财政增收后劲不足；支出需求保持旺盛，收支矛盾进一步加剧，紧平衡特征进一步凸显；财政预算基数依赖和固化格局仍不同程度存在，财政支出结构优化调整力度有待进一步加强；部分绩效目标设定不够科学，绩效评价不够准确规范，绩效结果运用需要强化；化解和防范政府债务任务艰巨，特别是隐性债务管理潜在风险长期存在，当前及今后一定阶段偿债资金刚性需求与加大补短板促发展投入难以兼顾的矛盾日渐突出。对此，市政府高度重视，要求各有关部门和单位下更大力气，采取切实有效措施，认真加以解决。</w:t>
      </w:r>
    </w:p>
    <w:p w14:paraId="729CB57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　</w:t>
      </w:r>
      <w:r>
        <w:rPr>
          <w:rFonts w:hint="default" w:ascii="Times New Roman" w:hAnsi="Times New Roman" w:eastAsia="微软雅黑" w:cs="Times New Roman"/>
          <w:color w:val="000000"/>
          <w:sz w:val="32"/>
          <w:szCs w:val="32"/>
        </w:rPr>
        <w:t>　</w:t>
      </w:r>
      <w:r>
        <w:rPr>
          <w:rFonts w:hint="default" w:ascii="Times New Roman" w:hAnsi="Times New Roman" w:eastAsia="黑体" w:cs="Times New Roman"/>
          <w:color w:val="000000"/>
          <w:sz w:val="32"/>
          <w:szCs w:val="32"/>
        </w:rPr>
        <w:t>二、2021年预算草案</w:t>
      </w:r>
    </w:p>
    <w:p w14:paraId="34B7430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是实施“十四五”发展规划、开启全面建设社会主义现代化国家新征程、向第二个百年奋斗目标进军的第一年，是适应国际国内形势新变化和社会主要矛盾新要求的重要转折期，是形成以国内大循环为主体、国内国际双循环相互促进的新发展格局的关键时期，更是迎接建党一百周年的重要时点，做好今年的预算编制和财政工作，对贯彻落实党中央国务院方针政策和省市工作部署具有十分重要的意义。</w:t>
      </w:r>
    </w:p>
    <w:p w14:paraId="5502F85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rPr>
        <w:t>（一）预算编制和财政工作的指导思想、主要原则</w:t>
      </w:r>
    </w:p>
    <w:p w14:paraId="120265E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楷体_GB2312" w:cs="Times New Roman"/>
          <w:b/>
          <w:bCs/>
          <w:color w:val="000000"/>
          <w:kern w:val="2"/>
          <w:sz w:val="32"/>
          <w:szCs w:val="32"/>
        </w:rPr>
      </w:pPr>
      <w:r>
        <w:rPr>
          <w:rFonts w:hint="default" w:ascii="Times New Roman" w:hAnsi="Times New Roman" w:eastAsia="仿宋_GB2312" w:cs="Times New Roman"/>
          <w:color w:val="000000"/>
          <w:kern w:val="2"/>
          <w:sz w:val="32"/>
          <w:szCs w:val="32"/>
        </w:rPr>
        <w:t>今年预算编制和财政工作的指导思想是：</w:t>
      </w:r>
      <w:r>
        <w:rPr>
          <w:rFonts w:hint="default" w:ascii="Times New Roman" w:hAnsi="Times New Roman" w:eastAsia="楷体_GB2312" w:cs="Times New Roman"/>
          <w:b/>
          <w:bCs/>
          <w:color w:val="000000"/>
          <w:kern w:val="2"/>
          <w:sz w:val="32"/>
          <w:szCs w:val="32"/>
        </w:rPr>
        <w:t>以习近平新时代中国特色社会主义思想为指导，全面贯彻党的十九大和十九届二中、三中、四中、五中全会精神以及中央</w:t>
      </w:r>
      <w:r>
        <w:rPr>
          <w:rFonts w:hint="default" w:ascii="Times New Roman" w:hAnsi="Times New Roman" w:eastAsia="楷体_GB2312" w:cs="Times New Roman"/>
          <w:b/>
          <w:bCs/>
          <w:color w:val="000000"/>
          <w:kern w:val="2"/>
          <w:sz w:val="32"/>
          <w:szCs w:val="32"/>
          <w:lang w:eastAsia="zh-CN"/>
        </w:rPr>
        <w:t>、省、市</w:t>
      </w:r>
      <w:r>
        <w:rPr>
          <w:rFonts w:hint="default" w:ascii="Times New Roman" w:hAnsi="Times New Roman" w:eastAsia="楷体_GB2312" w:cs="Times New Roman"/>
          <w:b/>
          <w:bCs/>
          <w:color w:val="000000"/>
          <w:kern w:val="2"/>
          <w:sz w:val="32"/>
          <w:szCs w:val="32"/>
        </w:rPr>
        <w:t>经济工作会议精神，在市委的正确领导下，坚持稳中求进工作总基调，立足新发展阶段，贯彻新发展理念，融入新发展格局，以推动高质量发展为主题，以深化供给侧结构性改革为主线，以改革创新为根本动力，以满足人民日益增长</w:t>
      </w:r>
      <w:r>
        <w:rPr>
          <w:rFonts w:hint="default" w:ascii="Times New Roman" w:hAnsi="Times New Roman" w:eastAsia="楷体_GB2312" w:cs="Times New Roman"/>
          <w:b/>
          <w:bCs/>
          <w:color w:val="000000"/>
          <w:spacing w:val="-6"/>
          <w:kern w:val="2"/>
          <w:sz w:val="32"/>
          <w:szCs w:val="32"/>
        </w:rPr>
        <w:t>的美好生活需要为根本目的，坚持系统</w:t>
      </w:r>
      <w:r>
        <w:rPr>
          <w:rFonts w:hint="default" w:ascii="Times New Roman" w:hAnsi="Times New Roman" w:eastAsia="楷体_GB2312" w:cs="Times New Roman"/>
          <w:b/>
          <w:bCs/>
          <w:color w:val="000000"/>
          <w:kern w:val="2"/>
          <w:sz w:val="32"/>
          <w:szCs w:val="32"/>
        </w:rPr>
        <w:t>观念，认真落实提质增效、更可持续的积极财政政策，扎实做好“六稳”工作，全面落实“六保”任务，努力保持经济运行在合理区间；坚持以政领财，提升财政资源跨期配置效率，加强中期财政规划管理，做好“四本预算”统筹衔接，</w:t>
      </w:r>
      <w:r>
        <w:rPr>
          <w:rFonts w:hint="eastAsia" w:eastAsia="楷体_GB2312" w:cs="Times New Roman"/>
          <w:b/>
          <w:bCs/>
          <w:color w:val="000000"/>
          <w:kern w:val="2"/>
          <w:sz w:val="32"/>
          <w:szCs w:val="32"/>
          <w:lang w:val="en-US" w:eastAsia="zh-CN"/>
        </w:rPr>
        <w:t>全力支持“三城三地三中心”建设，</w:t>
      </w:r>
      <w:r>
        <w:rPr>
          <w:rFonts w:hint="default" w:ascii="Times New Roman" w:hAnsi="Times New Roman" w:eastAsia="楷体_GB2312" w:cs="Times New Roman"/>
          <w:b/>
          <w:bCs/>
          <w:color w:val="000000"/>
          <w:kern w:val="2"/>
          <w:sz w:val="32"/>
          <w:szCs w:val="32"/>
        </w:rPr>
        <w:t>为市委重大战略落地做实财力保障；坚持艰苦奋斗、精打细算、节用裕民，以政府过“紧日子”保障老百姓过“好日子”；坚持深化预算管理改革，加强预算约束和绩效管理，提高财政支出质量与效率；坚持底线思维和红线意识，依法依规加强政府债务管理，积极化解政府隐性债务，切实防范财政管理重大风险。</w:t>
      </w:r>
    </w:p>
    <w:p w14:paraId="0FE9EC0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在收入预算编制中，坚持和体现实事求是、科学预测的原则，财政收入预算安排与经济社会发展相适应，与“减税降费”等财政政策相衔接，充分用好国家支持实体经济发展、扩大中央预算内投资、增加地方政府债券发行规模等相关政策机遇，在全面落实减税降费政策措施、实质性降低企业负担的基础上依法征管，确保财政收入应收尽收。</w:t>
      </w:r>
    </w:p>
    <w:p w14:paraId="72D6700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在支出预算编制中，坚持和体现</w:t>
      </w:r>
      <w:r>
        <w:rPr>
          <w:rFonts w:hint="default" w:ascii="Times New Roman" w:hAnsi="Times New Roman" w:eastAsia="仿宋_GB2312" w:cs="Times New Roman"/>
          <w:b/>
          <w:bCs/>
          <w:color w:val="000000"/>
          <w:kern w:val="2"/>
          <w:sz w:val="32"/>
          <w:szCs w:val="32"/>
        </w:rPr>
        <w:t>“三压”“三保”“三统筹”</w:t>
      </w:r>
      <w:r>
        <w:rPr>
          <w:rFonts w:hint="default" w:ascii="Times New Roman" w:hAnsi="Times New Roman" w:eastAsia="仿宋_GB2312" w:cs="Times New Roman"/>
          <w:color w:val="000000"/>
          <w:kern w:val="2"/>
          <w:sz w:val="32"/>
          <w:szCs w:val="32"/>
        </w:rPr>
        <w:t>原则，牢固树立“艰苦奋斗、勤俭节约”思想，持续加大优化财政支出结构力度，积极而为、尽力而为、量力而为，增强财政可持续性。“三压”的重点是进一步落实过“紧日子”的要求，压一般性支出，对非刚性、非重点支出一律压减；压专项经费，进一步加大结构调整优化力度，对各部门的专项经费从严从紧安排；压待分配预算，对各部门的待分配预算一律不再安排。“三保”的重点是进一步落实补短板、强弱项、增后劲的要求，优先保障基本民生、基本生活、基本公共服务支出；重点保障增强城市发展后劲的科技创新、产业发展、基础设施建设等重要领域支出；据实保障各预算单位基本支出需要。“三统筹”的重点是坚持开源节流、盘活存量、用好增量，加强财政资源统筹，强化政府“四本预算”的统筹、当年预算与历年结余的统筹、财政拨款与部门事业收入等其他资金的统筹，建立健全同一领域不同渠道资金、财政拨款资金与非财政拨款资金、不同年度间财政资金的综合统筹机制。</w:t>
      </w:r>
    </w:p>
    <w:p w14:paraId="21299D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楷体_GB2312" w:cs="Times New Roman"/>
          <w:bCs/>
          <w:color w:val="000000"/>
          <w:sz w:val="32"/>
          <w:szCs w:val="32"/>
          <w:shd w:val="clear" w:color="auto" w:fill="FFFFFF"/>
        </w:rPr>
      </w:pPr>
      <w:r>
        <w:rPr>
          <w:rFonts w:hint="default" w:ascii="Times New Roman" w:hAnsi="Times New Roman" w:eastAsia="楷体_GB2312" w:cs="Times New Roman"/>
          <w:color w:val="000000"/>
          <w:kern w:val="2"/>
          <w:sz w:val="32"/>
          <w:szCs w:val="32"/>
        </w:rPr>
        <w:t>（二）2021年财政政策和财政工作</w:t>
      </w:r>
    </w:p>
    <w:p w14:paraId="6413697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2021年，积极的财政政策要“提质增效”“更可持续”，更加注重“结构调整”。</w:t>
      </w: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b/>
          <w:bCs w:val="0"/>
          <w:color w:val="000000"/>
          <w:kern w:val="2"/>
          <w:sz w:val="32"/>
          <w:szCs w:val="32"/>
        </w:rPr>
        <w:t>提质增效</w:t>
      </w: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color w:val="000000"/>
          <w:kern w:val="2"/>
          <w:sz w:val="32"/>
          <w:szCs w:val="32"/>
        </w:rPr>
        <w:t>主要从优化结构和加强管理着眼，在当前财政收支平衡压力持续增大、紧平衡特征日趋明显、加力空间有限的前提下，兼顾强化逆周期调节和财政收支平衡的要求，进一步完善政策实施机制，着力在及时、精准、有效上下功夫，切实提升政策效能和资金效益。建立实施常态化的财政资金直达机制，确保财政资金快速用到基层急需以及惠企利民领域，切实提高财政支出效率，推动宏观政策与微观需求紧密结合，确保财政资金管得严、放得活、用得准，更好发挥积极财政政策效能。进一步落实好“党政机关要带头过紧日子”的要求，在预算编制、执行中始终厉行勤俭节约，严把预算支出关口，深入挖掘节支潜力，加大重点领域和刚性支出保障力度。大幅度压减非刚性、非重点项目支出和公用经费，并对一些重点项目和政策性补贴按照从严从紧、能压则压的原则强力压减，把更多宝贵的财政资源腾出来，用于改善基本民生和支持市场主体发展。同时，更加突出绩效导向，加快建立全方位全过程全覆盖的预算绩效管理体系，切实提高财政资源配置效率和使用效益，确保经济实现量的合理增长和质的稳步提升，更加精准有效地促进高质量发展。</w:t>
      </w: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b/>
          <w:bCs w:val="0"/>
          <w:color w:val="000000"/>
          <w:kern w:val="2"/>
          <w:sz w:val="32"/>
          <w:szCs w:val="32"/>
        </w:rPr>
        <w:t>更可持续</w:t>
      </w: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color w:val="000000"/>
          <w:kern w:val="2"/>
          <w:sz w:val="32"/>
          <w:szCs w:val="32"/>
        </w:rPr>
        <w:t>主要从支出规模和政策力度着眼，兼顾稳增长和防风险需要，保持政府总体杠杆率基本稳定，为今后应对新的风险挑战留出政策空间。合理确定地方政府专项债券规模，保持适度支出强度。同时，加大预算统筹力度，大力盘活存量资金，保持适度支出强度，增强重大战略任务财力保障，支持扎实做好“六稳”、“六保”工作。</w:t>
      </w: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b/>
          <w:bCs w:val="0"/>
          <w:color w:val="000000"/>
          <w:kern w:val="2"/>
          <w:sz w:val="32"/>
          <w:szCs w:val="32"/>
        </w:rPr>
        <w:t>结构调整</w:t>
      </w: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color w:val="000000"/>
          <w:kern w:val="2"/>
          <w:sz w:val="32"/>
          <w:szCs w:val="32"/>
        </w:rPr>
        <w:t>主要从进一步优化财政资金使用结构和方式，更加突出政策聚焦重点，真正把钱用在刀刃上；强化逆周期调节，在扩大内需和供给升级的结合部发力，把财政资金投向供需共同受益、具有乘数效应的先进制造、民生建设、基础设施短板等领域；进一步加强财政政策与信贷、消费、投资、就业、产业、区域等其他宏观经济政策协调配合，健全完善政策协同、组合和传导落实机制，提高逆周期调节的前瞻性、针对性和有效性。市级财政支出预算安排的政策导向上，聚焦支持以下六个方面：</w:t>
      </w:r>
    </w:p>
    <w:p w14:paraId="5346D52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kern w:val="2"/>
          <w:sz w:val="32"/>
          <w:szCs w:val="32"/>
        </w:rPr>
        <w:t>1.</w:t>
      </w:r>
      <w:r>
        <w:rPr>
          <w:rFonts w:hint="default" w:ascii="Times New Roman" w:hAnsi="Times New Roman" w:eastAsia="仿宋_GB2312" w:cs="Times New Roman"/>
          <w:bCs/>
          <w:color w:val="000000"/>
          <w:kern w:val="2"/>
          <w:sz w:val="32"/>
          <w:szCs w:val="32"/>
          <w:lang w:val="en-US" w:eastAsia="zh-CN"/>
        </w:rPr>
        <w:t xml:space="preserve"> </w:t>
      </w:r>
      <w:r>
        <w:rPr>
          <w:rFonts w:hint="default" w:ascii="Times New Roman" w:hAnsi="Times New Roman" w:eastAsia="仿宋_GB2312" w:cs="Times New Roman"/>
          <w:bCs/>
          <w:color w:val="000000"/>
          <w:kern w:val="2"/>
          <w:sz w:val="32"/>
          <w:szCs w:val="32"/>
        </w:rPr>
        <w:t>聚焦支持“六稳六保”，进一步兜牢底线任务。</w:t>
      </w:r>
      <w:r>
        <w:rPr>
          <w:rFonts w:hint="default" w:ascii="Times New Roman" w:hAnsi="Times New Roman" w:eastAsia="仿宋_GB2312" w:cs="Times New Roman"/>
          <w:color w:val="000000"/>
          <w:kern w:val="2"/>
          <w:sz w:val="32"/>
          <w:szCs w:val="32"/>
        </w:rPr>
        <w:t>市级安排人员经费16.09亿元，较上年增加0.55亿元，增长3.54%，全面保障在职人员工资、机关事业单位基本养老保险单位缴费、职工基本医疗保险单位缴费等人员工资类所需经费；市级安排运转类经费1.11亿元，较上年增加0.03亿元，全面保障机关事业单位办公费、差旅费、会议费、培训费、公务用车运行维护费、取暖费等机构运转类所需资金；市级安排基本民生和就业13.39亿元，全面保障教育、文化、科技、社会保障、医疗健康、村级公益性岗位等基本民生和就业所需资金；市级安排粮食能源安全、产业链供应链、市场主体等方面资金1.18亿元，积极增加中小企业创业创新投资基金和担保贷款贴息资金，推动担保贷款增量扩面，支持中小企业快速发展；支持天水区域粮食仓储物流生态园区建设，补充粮食风险基金，保障粮食安全。</w:t>
      </w:r>
    </w:p>
    <w:p w14:paraId="224B1F6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kern w:val="2"/>
          <w:sz w:val="32"/>
          <w:szCs w:val="32"/>
        </w:rPr>
        <w:t>2.</w:t>
      </w:r>
      <w:r>
        <w:rPr>
          <w:rFonts w:hint="default" w:ascii="Times New Roman" w:hAnsi="Times New Roman" w:eastAsia="仿宋_GB2312" w:cs="Times New Roman"/>
          <w:bCs/>
          <w:color w:val="000000"/>
          <w:kern w:val="2"/>
          <w:sz w:val="32"/>
          <w:szCs w:val="32"/>
          <w:lang w:val="en-US" w:eastAsia="zh-CN"/>
        </w:rPr>
        <w:t xml:space="preserve"> </w:t>
      </w:r>
      <w:r>
        <w:rPr>
          <w:rFonts w:hint="default" w:ascii="Times New Roman" w:hAnsi="Times New Roman" w:eastAsia="仿宋_GB2312" w:cs="Times New Roman"/>
          <w:bCs/>
          <w:color w:val="000000"/>
          <w:kern w:val="2"/>
          <w:sz w:val="32"/>
          <w:szCs w:val="32"/>
        </w:rPr>
        <w:t>聚焦支持乡村振兴，进一步</w:t>
      </w:r>
      <w:r>
        <w:rPr>
          <w:rFonts w:hint="eastAsia" w:eastAsia="仿宋_GB2312" w:cs="Times New Roman"/>
          <w:bCs/>
          <w:color w:val="000000"/>
          <w:kern w:val="2"/>
          <w:sz w:val="32"/>
          <w:szCs w:val="32"/>
          <w:lang w:eastAsia="zh-CN"/>
        </w:rPr>
        <w:t>巩固拓展脱贫攻坚成果</w:t>
      </w: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color w:val="000000"/>
          <w:kern w:val="2"/>
          <w:sz w:val="32"/>
          <w:szCs w:val="32"/>
        </w:rPr>
        <w:t>市级安排财政专项扶贫资金、乡村振兴资金13.55亿元。全力支持稳住农业基本盘、守好“三农”基础，加快发展农业农村现代化；支持巩固和拓展脱贫攻坚成果，全面推进乡村振兴；支持高标准农田和农田水利建设，支持落实严格的耕地保护制度；支持推进全市“4+2”农业产业振兴行动，重点扶持培育农业产业化生产加工基地和重点龙头企业建设；支持美丽乡村建设行动，加快农村基础设施建设步伐，进一步改善乡村人居环境。</w:t>
      </w:r>
    </w:p>
    <w:p w14:paraId="7ED5709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kern w:val="2"/>
          <w:sz w:val="32"/>
          <w:szCs w:val="32"/>
        </w:rPr>
        <w:t>3.</w:t>
      </w:r>
      <w:r>
        <w:rPr>
          <w:rFonts w:hint="default" w:ascii="Times New Roman" w:hAnsi="Times New Roman" w:eastAsia="仿宋_GB2312" w:cs="Times New Roman"/>
          <w:bCs/>
          <w:color w:val="000000"/>
          <w:kern w:val="2"/>
          <w:sz w:val="32"/>
          <w:szCs w:val="32"/>
          <w:lang w:val="en-US" w:eastAsia="zh-CN"/>
        </w:rPr>
        <w:t xml:space="preserve"> </w:t>
      </w:r>
      <w:r>
        <w:rPr>
          <w:rFonts w:hint="default" w:ascii="Times New Roman" w:hAnsi="Times New Roman" w:eastAsia="仿宋_GB2312" w:cs="Times New Roman"/>
          <w:bCs/>
          <w:color w:val="000000"/>
          <w:kern w:val="2"/>
          <w:sz w:val="32"/>
          <w:szCs w:val="32"/>
        </w:rPr>
        <w:t>聚焦支持五个制高点，进一步促进高质量发展。</w:t>
      </w:r>
      <w:r>
        <w:rPr>
          <w:rFonts w:hint="default" w:ascii="Times New Roman" w:hAnsi="Times New Roman" w:eastAsia="仿宋_GB2312" w:cs="Times New Roman"/>
          <w:color w:val="000000"/>
          <w:kern w:val="2"/>
          <w:sz w:val="32"/>
          <w:szCs w:val="32"/>
        </w:rPr>
        <w:t>市级安排文化旅游支出6.49亿元，支持打造“一带一路”文化制高点</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重点支持市博物馆、图书馆、文化馆、大剧院等重大文化工程建设，支持麦积山大景区、伏羲庙游客服务中心等旅游重大工程建设。市级安排交通运输支出16.8亿元，大力支持高铁南站、高速公路、机场迁建等交通项目建设，加大公交运营补贴力度，积极扶持陇东南交通、商贸物流枢纽体系建设。市级安排科学技术支出0.4亿元，大力支持十大生态产业技术创新体系、培育创新性骨干企业、科技创新服务体系建设。市级安排教育支出6.3亿元，重点支持天水职教园区、天水实验小学分校、市幼儿园分园等建设，打造天水产教融合、校企合作育人新基地。市级安排工业和信息产业支出3.64亿元，大力支持推动互联网、大数据、5G网络等信息技术在城市建设、商贸物流、人文交流、生态环境等领域深度融合发展，积极支持天水智慧城市建设，推动建设数字天水。市级安排生态环保支出1.29亿元，继续支持天然林保护、重点流域综合治理等重点生态工程建设，支持加快实施藉河生态环境治理，支持落实河长制、湖长制，支持全域无垃圾治理，持续改善生态环境质量。</w:t>
      </w:r>
    </w:p>
    <w:p w14:paraId="70E8707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kern w:val="2"/>
          <w:sz w:val="32"/>
          <w:szCs w:val="32"/>
        </w:rPr>
        <w:t>4.</w:t>
      </w:r>
      <w:r>
        <w:rPr>
          <w:rFonts w:hint="default" w:ascii="Times New Roman" w:hAnsi="Times New Roman" w:eastAsia="仿宋_GB2312" w:cs="Times New Roman"/>
          <w:bCs/>
          <w:color w:val="000000"/>
          <w:kern w:val="2"/>
          <w:sz w:val="32"/>
          <w:szCs w:val="32"/>
          <w:lang w:val="en-US" w:eastAsia="zh-CN"/>
        </w:rPr>
        <w:t xml:space="preserve"> </w:t>
      </w:r>
      <w:r>
        <w:rPr>
          <w:rFonts w:hint="default" w:ascii="Times New Roman" w:hAnsi="Times New Roman" w:eastAsia="仿宋_GB2312" w:cs="Times New Roman"/>
          <w:bCs/>
          <w:color w:val="000000"/>
          <w:kern w:val="2"/>
          <w:sz w:val="32"/>
          <w:szCs w:val="32"/>
        </w:rPr>
        <w:t>聚焦支持城市更新，进一步夯实基础设施建设。</w:t>
      </w:r>
      <w:r>
        <w:rPr>
          <w:rFonts w:hint="default" w:ascii="Times New Roman" w:hAnsi="Times New Roman" w:eastAsia="仿宋_GB2312" w:cs="Times New Roman"/>
          <w:color w:val="000000"/>
          <w:kern w:val="2"/>
          <w:sz w:val="32"/>
          <w:szCs w:val="32"/>
        </w:rPr>
        <w:t>市级安排6.06亿元，支持秦州至三阳川隧道、天水曲溪城乡供水工程、城区集中供热管网改造、国际陆港基础设施、藉河生态治理工程、停车场、城区雨污分流改造等市政工程建设。支持加快罗峪小区、东方红、枣园村、金家庄等片区棚改项目建设，有力支持城市更新步伐。市级安排PPP项目资本金21.94亿元，支持静天高速、S03绕城高速、有轨电车二期、曲溪供水、乡村振兴南北两山片区基础设施、国际陆港城市政基础设施等PPP项目落地建设。</w:t>
      </w:r>
    </w:p>
    <w:p w14:paraId="1E4994C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kern w:val="2"/>
          <w:sz w:val="32"/>
          <w:szCs w:val="32"/>
        </w:rPr>
        <w:t>5.</w:t>
      </w:r>
      <w:r>
        <w:rPr>
          <w:rFonts w:hint="default" w:ascii="Times New Roman" w:hAnsi="Times New Roman" w:eastAsia="仿宋_GB2312" w:cs="Times New Roman"/>
          <w:bCs/>
          <w:color w:val="000000"/>
          <w:kern w:val="2"/>
          <w:sz w:val="32"/>
          <w:szCs w:val="32"/>
          <w:lang w:val="en-US" w:eastAsia="zh-CN"/>
        </w:rPr>
        <w:t xml:space="preserve"> </w:t>
      </w:r>
      <w:r>
        <w:rPr>
          <w:rFonts w:hint="default" w:ascii="Times New Roman" w:hAnsi="Times New Roman" w:eastAsia="仿宋_GB2312" w:cs="Times New Roman"/>
          <w:bCs/>
          <w:color w:val="000000"/>
          <w:kern w:val="2"/>
          <w:sz w:val="32"/>
          <w:szCs w:val="32"/>
        </w:rPr>
        <w:t>聚焦支持出城入园，进一步扶持工业转型升级。</w:t>
      </w:r>
      <w:r>
        <w:rPr>
          <w:rFonts w:hint="default" w:ascii="Times New Roman" w:hAnsi="Times New Roman" w:eastAsia="仿宋_GB2312" w:cs="Times New Roman"/>
          <w:color w:val="000000"/>
          <w:kern w:val="2"/>
          <w:sz w:val="32"/>
          <w:szCs w:val="32"/>
        </w:rPr>
        <w:t>市级安排工业企业出城入园等征迁资金48.51亿元，加快红山厂、海林厂、长仪厂、长通厂、天河酒厂、锻压厂、长开厂、电缆厂等企业搬迁。积极扶持培育十大生态产业，大力支持先进制造、数据信息、清洁生产产业专项行动，推进新兴产业不断发展壮大。重点支持海林公司、岷山公司搬迁改造和长城果汁、中疆科技智能制造产业园等重大项目，特别扶持好东旭集团天水新材料产业园、陇丰源智能终端制造、甘肃移动第二大数据中心等项目建设。</w:t>
      </w:r>
    </w:p>
    <w:p w14:paraId="2C93A22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kern w:val="2"/>
          <w:sz w:val="32"/>
          <w:szCs w:val="32"/>
        </w:rPr>
        <w:t>6.</w:t>
      </w:r>
      <w:r>
        <w:rPr>
          <w:rFonts w:hint="default" w:ascii="Times New Roman" w:hAnsi="Times New Roman" w:eastAsia="仿宋_GB2312" w:cs="Times New Roman"/>
          <w:bCs/>
          <w:color w:val="000000"/>
          <w:kern w:val="2"/>
          <w:sz w:val="32"/>
          <w:szCs w:val="32"/>
          <w:lang w:val="en-US" w:eastAsia="zh-CN"/>
        </w:rPr>
        <w:t xml:space="preserve"> </w:t>
      </w:r>
      <w:r>
        <w:rPr>
          <w:rFonts w:hint="default" w:ascii="Times New Roman" w:hAnsi="Times New Roman" w:eastAsia="仿宋_GB2312" w:cs="Times New Roman"/>
          <w:bCs/>
          <w:color w:val="000000"/>
          <w:kern w:val="2"/>
          <w:sz w:val="32"/>
          <w:szCs w:val="32"/>
        </w:rPr>
        <w:t>聚焦支持化解债务，进一步强化债务风险防控。</w:t>
      </w:r>
      <w:r>
        <w:rPr>
          <w:rFonts w:hint="default" w:ascii="Times New Roman" w:hAnsi="Times New Roman" w:eastAsia="仿宋_GB2312" w:cs="Times New Roman"/>
          <w:color w:val="000000"/>
          <w:kern w:val="2"/>
          <w:sz w:val="32"/>
          <w:szCs w:val="32"/>
        </w:rPr>
        <w:t>市级安排债券还本付息资金4.31亿元，全面落实当年债券还本付息责任。市级安排化解政府隐性债务15.71亿元，主要包括市交通道路、商贸基础设施、市政公共设施、城市供水供热、文旅基础实施、污水处理等企事业单位公益性项目建设债务化解。</w:t>
      </w:r>
    </w:p>
    <w:p w14:paraId="127551B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cs="Times New Roman"/>
          <w:color w:val="000000"/>
        </w:rPr>
      </w:pPr>
      <w:r>
        <w:rPr>
          <w:rFonts w:hint="default" w:ascii="Times New Roman" w:hAnsi="Times New Roman" w:eastAsia="楷体_GB2312" w:cs="Times New Roman"/>
          <w:bCs/>
          <w:color w:val="000000"/>
          <w:sz w:val="32"/>
          <w:szCs w:val="32"/>
        </w:rPr>
        <w:t>（三）一般公共预算收入预计和支出安排</w:t>
      </w:r>
    </w:p>
    <w:p w14:paraId="4726AD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 xml:space="preserve">2021年，全市一般公共预算收入54.35亿元，与2020年相比同口径增长5%（其中：税收收入32.4亿元，增长7.6%；非税收入21.95亿元，同口径增长1.9%）。加上上级财政税收返还和补助收入113.96亿元，调入资金3.7亿元，动用预算稳定调节基金2.93亿元，省级提前下达补助69.78亿元，上年结转1.32亿元，收入总量为246.04亿元。全市一般公共预算支出241.71亿元。加上地方政府一般债券还本支出1.14亿元，上解省级支出3.19亿元，支出总量为246.04亿元。全市一般公共预算收支平衡。  </w:t>
      </w:r>
    </w:p>
    <w:p w14:paraId="4469A0E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市级一般公共预算收入20.15亿元，与2020年相比增长5%。加上上级财政税收返还和补助收入11.80亿元，县区上解收入0.88亿元，调入资金1.23亿元，动用预算稳定调节基金2.6亿元，上年结转0.89亿元，省级提前下达补助20.19亿元，收入总量为57.74亿元。市级一般公共预算支出53.9亿元。加上地方政府一般债券还本支出0.49亿元，补助下级支出3.26亿元，上解省级支出881万元，支出总量为57.74亿元。市级一般公共预算收支平衡。</w:t>
      </w:r>
    </w:p>
    <w:p w14:paraId="6CC9072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市级一般公共预算支出53.9亿元中，基本支出17.2亿元（其中：人员经费安排16.09亿元，公用经费安排1.11亿元），项目支出15.76亿元，预备费0.75亿元；省级提前下达指定用途的转移支付项目支出20.19亿元。</w:t>
      </w:r>
    </w:p>
    <w:p w14:paraId="3B4F324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需要说明的是，2021年，全市一般公共预算收入预期与上</w:t>
      </w:r>
    </w:p>
    <w:p w14:paraId="5FA2C78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年相比增幅较低。主要考虑：经济增长持续放缓，下行压力加大，全市产业基础能力和产业链水平亟需提升，新的支柱产业培育壮大等还需进一步加快步伐。“减税降费”政策带来的减收效应持续释放，加之2020年全市财政收入中一次性因素较多，这些均对2021年财政收入带来较大影响，面临较大的增长压力。对此，我们将进一步加强动态跟踪和预研预判，切实提高财政收入质量，着力增强财政收入增长的稳定性、协调性和可持续性，确保财政收入平稳健康运行。</w:t>
      </w:r>
    </w:p>
    <w:p w14:paraId="3A69B5B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（四）政府性基金预算收入预计和支出安排</w:t>
      </w:r>
    </w:p>
    <w:p w14:paraId="2F009EB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 xml:space="preserve">2021年，全市政府性基金预算收入157.2亿元，加上上级财政补助和动用上年结转收入3.64亿元，收入总量为160.84亿元。全市政府性基金预算支出152.95亿元，加上地方政府专项债券还本支出4.23亿元，调出资金3.66亿元，支出总量为160.84亿元。全市政府性基金预算收支平衡。  </w:t>
      </w:r>
    </w:p>
    <w:p w14:paraId="3ABDDF0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 xml:space="preserve">2021年，市级政府性基金预算收入128.07亿元，增长41.78%（其中：市级国有土地使用权出让收入125.86亿元，增长47.02%），加上动用上年结转收入3.22亿元，收入总量为131.29亿元。市级政府性基金预算支出117.87亿元，增长60.24%，加上地方政府专项债券还本支出2.1亿元，调出资金1.2亿元，补助县区10.12亿元，支出总量为131.29亿元。市级政府性基金预算收支平衡。 </w:t>
      </w:r>
    </w:p>
    <w:p w14:paraId="5BD1525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（五）国有资本经营预算收入预计和支出安排</w:t>
      </w:r>
    </w:p>
    <w:p w14:paraId="110BC03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全市国有资本经营预算收入667万元，加上转移支付收入202万元，上年结转收入994万元，收入总量为1863万元。全市国有资本经营预算支出1508万元，加上调出资金355万元，支出总量为1863万元。全市国有资本经营预算收支平衡。</w:t>
      </w:r>
    </w:p>
    <w:p w14:paraId="3D83414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2021年，市级国有资本经营预算收入600万元，加上上年结转收入991万元，收入总量为1591万元。市级国有资本经营预算支出1256万元，加上调出资金335万元，支出总量为1591万元。市级国有资本经营预算收支平衡。</w:t>
      </w:r>
    </w:p>
    <w:p w14:paraId="4CD0696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Cs/>
          <w:color w:val="000000"/>
          <w:sz w:val="32"/>
          <w:szCs w:val="32"/>
        </w:rPr>
        <w:t>（六）社会保险基金预算收入预计和支出安排</w:t>
      </w:r>
    </w:p>
    <w:p w14:paraId="00E8A27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2021年，全市社会保险基金预算收入70.9亿元，下降37.79%。其中：保险费收入41.3亿元，财政补贴收入29.1亿元，利息等其他社会保险收入0.5亿元。全市</w:t>
      </w:r>
      <w:r>
        <w:rPr>
          <w:rFonts w:hint="default" w:ascii="Times New Roman" w:hAnsi="Times New Roman" w:eastAsia="仿宋_GB2312" w:cs="Times New Roman"/>
          <w:color w:val="000000"/>
          <w:spacing w:val="6"/>
          <w:kern w:val="2"/>
          <w:sz w:val="32"/>
          <w:szCs w:val="32"/>
        </w:rPr>
        <w:t>社会保险基金预算支出71.1亿元，下降38.9%。本年收支结余-0.2亿元，年末滚存结余29.3亿元。</w:t>
      </w:r>
    </w:p>
    <w:p w14:paraId="4D24891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市级社会保险基金预算收入44.03亿元，其中：财政补贴收入20.97亿元，社会保险费收入22.79亿元，利息收入0.24亿元，转移性收入0.03亿元。市级社会保险基金预算支出43.51亿元，其中：城乡居民基本医疗保险25.79亿元，城镇职工基本医疗保险9.95亿元，机关事业单位基本养老保险6.45亿元，失业保险0.93亿元，工伤保险0.39亿元。当年收支结余0.52亿元，年末滚存结余13.54亿元。</w:t>
      </w:r>
    </w:p>
    <w:p w14:paraId="7D30074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需要说明的是，全市社会保险基金预算收入和支出下降的原因主要是从2020年7月起，企业职工养老保险实现省级统筹，</w:t>
      </w:r>
    </w:p>
    <w:p w14:paraId="01BBD64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全部转列省级收入和支出。</w:t>
      </w:r>
    </w:p>
    <w:p w14:paraId="2F5547C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Cs/>
          <w:color w:val="000000"/>
          <w:sz w:val="32"/>
          <w:szCs w:val="32"/>
        </w:rPr>
        <w:t>（七）市级政府债券还本付息情况</w:t>
      </w:r>
    </w:p>
    <w:p w14:paraId="5C1294A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2021年，市级政府债券到期2.59亿元（其中：一般债券0.49亿元，专项债券2.1亿元），预算安排债券还本2.59亿元。市级政府债券付息足额安排支出1.73亿元（其中：一般债券付息0.58亿元，专项债券付息1.15亿元）。</w:t>
      </w:r>
    </w:p>
    <w:p w14:paraId="3FA8326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三、扎实做好2021年预算执行与财政管理工作</w:t>
      </w:r>
    </w:p>
    <w:p w14:paraId="123608B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2021年是实施“十四五”发展规划起步之年，全市财政工作将紧紧围绕中央、省、市决策部署，及时跟进新形势、新任务、新要求，细化完善工作措施，积极组织财政收入，加强重点支出保障，深化财税体制改革，着力做好以下工作。</w:t>
      </w:r>
    </w:p>
    <w:p w14:paraId="25B32C1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（一）切实强化预算执行管控</w:t>
      </w:r>
    </w:p>
    <w:p w14:paraId="492C040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全面落实预算法及实施条例要求，进一步强化预算约束，规范政府收支行为。深化预算管理制度改革，运用零基预算理念，打破支出固化格局，提高预算编制科学性和准确性。依法依规组织财政收入，严格执行人大批准的预算，迅速下达预算资金，严控预算调剂追加事项。强化预算执行动态监控，完善财政扶贫资金、国库集中支付资金、直达基层资金等监控机制建设。切实加强预算执行和财政资金安全管理。大力盘活财政存量资金，按规定及时收回沉淀资金，用于其他亟需资金支持的领域。严格执行预决算公开规定，推动预决算公开规范化、常态化、制度化，提高财政透明度，主动接受各方面监督。</w:t>
      </w:r>
    </w:p>
    <w:p w14:paraId="2964A04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z w:val="32"/>
          <w:szCs w:val="32"/>
        </w:rPr>
        <w:t>（二）切实兜牢“三保”底线</w:t>
      </w:r>
    </w:p>
    <w:p w14:paraId="312C8BE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为保障基层政府正常履职和各项政策有效实施，市财政在大幅增加对县区财力支持的同时，加强对县区财政运行跟踪分析，强化统一调度和监管，指导督促县区做实事前审核、事中监控、事后处置的“三保”预算管理工作机制，强化库款调度，完善建立“中央到省、省到市县、市到县区”监控机制。强化市对县区“三保”预算审核机制建立，确保“三保”预算足额安排，密切跟踪基层“三保”支出执行情况。全面落实县区保障直接责任，坚持“三保”支出在财政支出中的优先顺序，坚持国家标准“三保”支出在“三保”支出中的优先顺序，做好预算安排和库款调度，防止“三保”出现问题。</w:t>
      </w:r>
    </w:p>
    <w:p w14:paraId="38658F1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z w:val="32"/>
          <w:szCs w:val="32"/>
        </w:rPr>
        <w:t>（三）管好用好政府债券资金</w:t>
      </w:r>
    </w:p>
    <w:p w14:paraId="5BD3E24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认真履行好地方政府债券的法定管理责任，进一步强化管理、守住底线、发挥作用。积极发挥专项债券促进经济社会发展的作用，完善管理机制，聚焦重点领域，优化投向结构，适当提高专项债券作为符合条件重大项目资本金的比例，带动社会资本加大投入。加强部门沟通协调配合，加快债券资金拨付使用，推动建设一批重大项目，及早形成实物工作量。严格专项债券项目合规性审核和风险把控，专项债券必须用于有一定收益的重大项目，融资规模要保持与项目收益相平衡。坚持地方政府债券依法只能用于公益性资本支出，不能用于经常性支出，严禁将债券资</w:t>
      </w:r>
    </w:p>
    <w:p w14:paraId="3FFCE68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金用于发放工资、单位运行经费、发放养老金等。严格落实地方</w:t>
      </w:r>
    </w:p>
    <w:p w14:paraId="5A68DEA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政府债券到期偿还责任，确保地方政府债券管理不出任何风险。</w:t>
      </w:r>
    </w:p>
    <w:p w14:paraId="53174EC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z w:val="32"/>
          <w:szCs w:val="32"/>
        </w:rPr>
        <w:t>（四）加快财政管理改革步伐</w:t>
      </w:r>
    </w:p>
    <w:p w14:paraId="140244A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rPr>
        <w:t>围绕推进国家治理体系和治理能力现代化，继续深化财税体制改革。扎实推进市与县区财政事权和支出责任划分改革，推动建立权责清晰、财力协调、区域均衡的政府间财政关系。进一步优化专项转移支付项目设置，提高转移支付管理规范性、科学性和有效性。完善标准科学、规范透明、约束有力的预算制度，健全预算支出标准体系，完善支出标准应用机制。全面提升政府财务报告编制水平。持续推进“财政精细化管理年”活动，着力提升财政科学化、规范化、精细化管理水平。积极探索税源监管体系建设，挖掘税收增长潜力。强化财政直达资金监控管理，确保惠民惠企资金快速直达基层，进一步提高财政资金使用效益。</w:t>
      </w:r>
    </w:p>
    <w:p w14:paraId="441286C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z w:val="32"/>
          <w:szCs w:val="32"/>
        </w:rPr>
        <w:t>（五）全面实施预算绩效管理</w:t>
      </w:r>
    </w:p>
    <w:p w14:paraId="3CB34A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加快构建全方位、全过程、全覆盖的预算绩效管理体系，提升预算管理水平和政策实施效果。健全权责对等、激励相容的预算绩效管理机制，完善绩效管理制度、绩效指标和标准体系，研究开展成本效益分析，为优化预算编制提供依据。探索部门整体支出绩效管理，对新出台重大政策、支出项目开展事前绩效评估，加强绩效目标审核，提升绩效目标约束力，做好绩效运行监控。扎实开展重点绩效评价工作，推动绩效评价提质扩围，提高评价质量和可信度。强化结果应用，建立完善评价结果与预算调整、改进管理、完善政策挂钩机制，做到花钱必问效，无效必问责，低效多压减</w:t>
      </w:r>
      <w:r>
        <w:rPr>
          <w:rFonts w:hint="eastAsia"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有效多安排。大力推动绩效信息公开，积极引导和规范第三方机构参与绩效评价。</w:t>
      </w:r>
    </w:p>
    <w:p w14:paraId="738C50C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z w:val="32"/>
          <w:szCs w:val="32"/>
        </w:rPr>
        <w:t>（六）自觉接受人大审查监督</w:t>
      </w:r>
    </w:p>
    <w:p w14:paraId="397CC2B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深入贯彻落实中央《关于人大预算审查监督重点向支出预算和政策拓展的指导意见》和市人大有关要求，自觉接受预决算审查监督。认真听取吸纳人大代表和社会各界意见建议，紧紧围绕贯彻落实市委重大决策部署，改进预算报告和草案编报工作，提高支出预算和政策的科学性有效性。认真落实人大及其常委会有关预算决议和决算决议。积极配合推进预算联网监督。做好国有资产管理情况综合报告和相关专项报告工作。积极主动回应人大代表关切，做好解释说明工作，更好服务人大代表依法履职。</w:t>
      </w:r>
    </w:p>
    <w:p w14:paraId="651C6EC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各位代表，当前和今后一段时期，我市发展面临的挑战前所未有，做好2021年财政预算工作任务艰巨繁重。我们将在市委的坚强领导下，高举中国特色社会主义伟大旗帜，自觉接受市人大监督，认真听取市政协建议，只争朝夕、真抓实干，凝心聚力、攻坚克难，努力在新时代财政改革发展中取得新气象、新作为，为全市经济社会高质量发展做出积极贡献，以优异成绩庆祝建党100周年！</w:t>
      </w:r>
    </w:p>
    <w:p w14:paraId="5A26628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p>
    <w:p w14:paraId="6E33EF6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p>
    <w:p w14:paraId="5F2DC6C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p>
    <w:p w14:paraId="20A42E0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p>
    <w:p w14:paraId="24FAD6E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p>
    <w:p w14:paraId="206F0ED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p>
    <w:p w14:paraId="247ADE8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rPr>
          <w:rFonts w:hint="default" w:ascii="Times New Roman" w:hAnsi="Times New Roman" w:eastAsia="仿宋_GB2312" w:cs="Times New Roman"/>
          <w:color w:val="000000"/>
          <w:kern w:val="2"/>
          <w:sz w:val="32"/>
          <w:szCs w:val="32"/>
        </w:rPr>
      </w:pPr>
    </w:p>
    <w:p w14:paraId="44ECB0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lang w:eastAsia="zh-CN"/>
        </w:rPr>
        <w:t>附件</w:t>
      </w:r>
    </w:p>
    <w:p w14:paraId="1AEB05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lang w:eastAsia="zh-CN"/>
        </w:rPr>
      </w:pPr>
    </w:p>
    <w:p w14:paraId="41EE53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pacing w:val="0"/>
          <w:sz w:val="44"/>
          <w:szCs w:val="44"/>
          <w:lang w:eastAsia="zh-CN"/>
        </w:rPr>
      </w:pPr>
      <w:r>
        <w:rPr>
          <w:rFonts w:hint="default" w:ascii="Times New Roman" w:hAnsi="Times New Roman" w:eastAsia="方正小标宋简体" w:cs="Times New Roman"/>
          <w:b w:val="0"/>
          <w:bCs w:val="0"/>
          <w:spacing w:val="0"/>
          <w:sz w:val="44"/>
          <w:szCs w:val="44"/>
          <w:lang w:eastAsia="zh-CN"/>
        </w:rPr>
        <w:t>名</w:t>
      </w:r>
      <w:r>
        <w:rPr>
          <w:rFonts w:hint="default" w:ascii="Times New Roman" w:hAnsi="Times New Roman" w:eastAsia="方正小标宋简体" w:cs="Times New Roman"/>
          <w:b w:val="0"/>
          <w:bCs w:val="0"/>
          <w:spacing w:val="0"/>
          <w:sz w:val="44"/>
          <w:szCs w:val="44"/>
          <w:lang w:val="en-US" w:eastAsia="zh-CN"/>
        </w:rPr>
        <w:t xml:space="preserve"> </w:t>
      </w:r>
      <w:r>
        <w:rPr>
          <w:rFonts w:hint="default" w:ascii="Times New Roman" w:hAnsi="Times New Roman" w:eastAsia="方正小标宋简体" w:cs="Times New Roman"/>
          <w:b w:val="0"/>
          <w:bCs w:val="0"/>
          <w:spacing w:val="0"/>
          <w:sz w:val="44"/>
          <w:szCs w:val="44"/>
          <w:lang w:eastAsia="zh-CN"/>
        </w:rPr>
        <w:t>词</w:t>
      </w:r>
      <w:r>
        <w:rPr>
          <w:rFonts w:hint="default" w:ascii="Times New Roman" w:hAnsi="Times New Roman" w:eastAsia="方正小标宋简体" w:cs="Times New Roman"/>
          <w:b w:val="0"/>
          <w:bCs w:val="0"/>
          <w:spacing w:val="0"/>
          <w:sz w:val="44"/>
          <w:szCs w:val="44"/>
          <w:lang w:val="en-US" w:eastAsia="zh-CN"/>
        </w:rPr>
        <w:t xml:space="preserve"> </w:t>
      </w:r>
      <w:r>
        <w:rPr>
          <w:rFonts w:hint="default" w:ascii="Times New Roman" w:hAnsi="Times New Roman" w:eastAsia="方正小标宋简体" w:cs="Times New Roman"/>
          <w:b w:val="0"/>
          <w:bCs w:val="0"/>
          <w:spacing w:val="0"/>
          <w:sz w:val="44"/>
          <w:szCs w:val="44"/>
          <w:lang w:eastAsia="zh-CN"/>
        </w:rPr>
        <w:t>解</w:t>
      </w:r>
      <w:r>
        <w:rPr>
          <w:rFonts w:hint="default" w:ascii="Times New Roman" w:hAnsi="Times New Roman" w:eastAsia="方正小标宋简体" w:cs="Times New Roman"/>
          <w:b w:val="0"/>
          <w:bCs w:val="0"/>
          <w:spacing w:val="0"/>
          <w:sz w:val="44"/>
          <w:szCs w:val="44"/>
          <w:lang w:val="en-US" w:eastAsia="zh-CN"/>
        </w:rPr>
        <w:t xml:space="preserve"> </w:t>
      </w:r>
      <w:r>
        <w:rPr>
          <w:rFonts w:hint="default" w:ascii="Times New Roman" w:hAnsi="Times New Roman" w:eastAsia="方正小标宋简体" w:cs="Times New Roman"/>
          <w:b w:val="0"/>
          <w:bCs w:val="0"/>
          <w:spacing w:val="0"/>
          <w:sz w:val="44"/>
          <w:szCs w:val="44"/>
          <w:lang w:eastAsia="zh-CN"/>
        </w:rPr>
        <w:t>释</w:t>
      </w:r>
    </w:p>
    <w:p w14:paraId="5C1EDD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lang w:eastAsia="zh-CN"/>
        </w:rPr>
      </w:pPr>
    </w:p>
    <w:p w14:paraId="632A2D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大口径财政收入</w:t>
      </w:r>
      <w:r>
        <w:rPr>
          <w:rFonts w:hint="default" w:ascii="Times New Roman" w:hAnsi="Times New Roman" w:eastAsia="仿宋_GB2312" w:cs="Times New Roman"/>
          <w:b w:val="0"/>
          <w:bCs w:val="0"/>
          <w:sz w:val="32"/>
          <w:szCs w:val="32"/>
        </w:rPr>
        <w:t xml:space="preserve">  是指一般公共预算收入、政府性基金预算收入、国有资本经营预算收入加上按照财政体制上划上级财政的收入之和。按照目前财政体制，增值税65%部分、消费税100%，个人所得税60%、企业所得税60%、国有土地使用权出让收入5%等为上划中央、省级收入。</w:t>
      </w:r>
    </w:p>
    <w:p w14:paraId="182275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一般公共预算</w:t>
      </w:r>
      <w:r>
        <w:rPr>
          <w:rFonts w:hint="default" w:ascii="Times New Roman" w:hAnsi="Times New Roman" w:eastAsia="仿宋_GB2312" w:cs="Times New Roman"/>
          <w:b w:val="0"/>
          <w:bCs w:val="0"/>
          <w:sz w:val="32"/>
          <w:szCs w:val="32"/>
        </w:rPr>
        <w:t xml:space="preserve">  是指政府按照财政管理体制依法征收并留归地方自主使用的税收和行政性收费、罚没等收入，并将自身收入和上级固定补助按照一定次序统筹安排工资、运转、民生、建设发展等支出的年度收支预算。</w:t>
      </w:r>
    </w:p>
    <w:p w14:paraId="60DBEE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政府性基金预算</w:t>
      </w:r>
      <w:r>
        <w:rPr>
          <w:rFonts w:hint="default" w:ascii="Times New Roman" w:hAnsi="Times New Roman" w:eastAsia="仿宋_GB2312" w:cs="Times New Roman"/>
          <w:b w:val="0"/>
          <w:bCs w:val="0"/>
          <w:sz w:val="32"/>
          <w:szCs w:val="32"/>
        </w:rPr>
        <w:t xml:space="preserve">  是指政府及其所属部门根据法律、行政法规以及党中央、国务院或者财政部规定，为支持公共事业发展，向公民、法人和其他组织无偿征收的具有专项用途的财政资金（主要包括：国有土地使用权出让收入、农业土地开发资金收入、城市基础设施配套费收入、污水处理费收入、彩票公益金等），并将自身收入严格按照专项用途安排支出的年度收支预算。</w:t>
      </w:r>
    </w:p>
    <w:p w14:paraId="62A3CB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国有资本经营预算</w:t>
      </w:r>
      <w:r>
        <w:rPr>
          <w:rFonts w:hint="default" w:ascii="Times New Roman" w:hAnsi="Times New Roman" w:eastAsia="仿宋_GB2312" w:cs="Times New Roman"/>
          <w:b w:val="0"/>
          <w:bCs w:val="0"/>
          <w:sz w:val="32"/>
          <w:szCs w:val="32"/>
        </w:rPr>
        <w:t xml:space="preserve">  是指国家以所有者身份依法取得国有资本经营收益，并对所得收益进行分配而发生的年度收支预算。</w:t>
      </w:r>
    </w:p>
    <w:p w14:paraId="281942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社会保险基金预算</w:t>
      </w:r>
      <w:r>
        <w:rPr>
          <w:rFonts w:hint="default" w:ascii="Times New Roman" w:hAnsi="Times New Roman" w:eastAsia="仿宋_GB2312" w:cs="Times New Roman"/>
          <w:b w:val="0"/>
          <w:bCs w:val="0"/>
          <w:sz w:val="32"/>
          <w:szCs w:val="32"/>
        </w:rPr>
        <w:t xml:space="preserve">  是指根据国家社会保险和预算管理法律法规建立，专门反映各项社会保险基金收支的年度预算，按险种分</w:t>
      </w:r>
      <w:r>
        <w:rPr>
          <w:rFonts w:hint="default" w:ascii="Times New Roman" w:hAnsi="Times New Roman" w:eastAsia="仿宋_GB2312" w:cs="Times New Roman"/>
          <w:b w:val="0"/>
          <w:bCs w:val="0"/>
          <w:spacing w:val="1"/>
          <w:sz w:val="32"/>
          <w:szCs w:val="32"/>
        </w:rPr>
        <w:t>别编制。主要包括企业职工基本养老保险基金、失业保险基金、城镇职工基本医疗保险基金、工伤保险基金、生育保险基金等。</w:t>
      </w:r>
    </w:p>
    <w:p w14:paraId="30CD0E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转移支付</w:t>
      </w:r>
      <w:r>
        <w:rPr>
          <w:rFonts w:hint="default" w:ascii="Times New Roman" w:hAnsi="Times New Roman" w:eastAsia="仿宋_GB2312" w:cs="Times New Roman"/>
          <w:b w:val="0"/>
          <w:bCs w:val="0"/>
          <w:sz w:val="32"/>
          <w:szCs w:val="32"/>
        </w:rPr>
        <w:t xml:space="preserve">  主要包括一般性转移支付和专项性转移支付。一般性转移支付是指为弥补财政实力薄弱地区的财力缺口、均衡地区间财力差距和实现地区间基本公共服务能力的均等化，上级财政安排给下级财政的补助支出，下级财政可以按照相关规定统筹安排和使用。专项性转移支付是指上级财政为实现特定的宏观政策及事业发展战略目标，以及对委托下级政府代理的一些事务进行补偿而设立的补助资金，地方财政需按规定用途使用资金。</w:t>
      </w:r>
    </w:p>
    <w:p w14:paraId="06FBE6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民生支出</w:t>
      </w:r>
      <w:r>
        <w:rPr>
          <w:rFonts w:hint="default" w:ascii="Times New Roman" w:hAnsi="Times New Roman" w:eastAsia="仿宋_GB2312" w:cs="Times New Roman"/>
          <w:b w:val="0"/>
          <w:bCs w:val="0"/>
          <w:sz w:val="32"/>
          <w:szCs w:val="32"/>
        </w:rPr>
        <w:t xml:space="preserve">  按照财政部统计口径，是指财政用于教育、卫生健康、社会保障和就业、保障性住房、文化旅游体育与传媒、农林水事务、环境保护、交通运输、城乡社区事务、粮油物资储备、地震灾后恢复重建等方面的支出合计。</w:t>
      </w:r>
    </w:p>
    <w:p w14:paraId="0987D9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“财政精细化管理年”活动</w:t>
      </w:r>
      <w:r>
        <w:rPr>
          <w:rFonts w:hint="default" w:ascii="Times New Roman" w:hAnsi="Times New Roman" w:eastAsia="仿宋_GB2312" w:cs="Times New Roman"/>
          <w:b w:val="0"/>
          <w:bCs w:val="0"/>
          <w:sz w:val="32"/>
          <w:szCs w:val="32"/>
        </w:rPr>
        <w:t xml:space="preserve">  是指为进一步深化财政体制改革，夯实财政管理基础，提升全市财政管理的科学化、规范化和精细化水平，自2016年开始持续在全市财政系统开展的专题业务提升活动，在原财政规范化管理年活动确定的“预算管理、国库管理、政府采购管理、政府债务管理、国有资产监管、财政监督、财政信息化管理、财政项目库建设、财政投资评审、财政内部工作配合、财政干部行为规范”等11个方面内容基础上，增加“机关党建、综合行政管理、预算绩效管理、内控制度建设、金融管理、扶贫资金监管、社保基金管理、出国经费和外贷资金管理、会计管理、投融资管理”等10个方面内容，整合形成2020年天水市财政精细化管理年活动的17个重点方面。</w:t>
      </w:r>
    </w:p>
    <w:p w14:paraId="0D366D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预算联网监督</w:t>
      </w:r>
      <w:r>
        <w:rPr>
          <w:rFonts w:hint="default" w:ascii="Times New Roman" w:hAnsi="Times New Roman" w:eastAsia="仿宋_GB2312" w:cs="Times New Roman"/>
          <w:b w:val="0"/>
          <w:bCs w:val="0"/>
          <w:sz w:val="32"/>
          <w:szCs w:val="32"/>
        </w:rPr>
        <w:t xml:space="preserve">  是指利用政务内网光纤专线实现人大及其常委会</w:t>
      </w:r>
      <w:r>
        <w:rPr>
          <w:rFonts w:hint="default" w:ascii="Times New Roman" w:hAnsi="Times New Roman" w:eastAsia="仿宋_GB2312" w:cs="Times New Roman"/>
          <w:b w:val="0"/>
          <w:bCs w:val="0"/>
          <w:spacing w:val="1"/>
          <w:sz w:val="32"/>
          <w:szCs w:val="32"/>
        </w:rPr>
        <w:t>与同级财政的联网，建立各级人大预算收支联网监督系统，把财政数据同步到人大来，实现各级财政部门与人大的实时互联互通，将政府各个部门单位的预算执行情况置于人大监督之下。</w:t>
      </w:r>
    </w:p>
    <w:p w14:paraId="6F43E9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中期财政规划</w:t>
      </w:r>
      <w:r>
        <w:rPr>
          <w:rFonts w:hint="default" w:ascii="Times New Roman" w:hAnsi="Times New Roman" w:eastAsia="仿宋_GB2312" w:cs="Times New Roman"/>
          <w:b w:val="0"/>
          <w:bCs w:val="0"/>
          <w:sz w:val="32"/>
          <w:szCs w:val="32"/>
        </w:rPr>
        <w:t xml:space="preserve">  是指按照国务院加强财政管理的总体要求，由部门依据国民经济和社会发展规划、政府宏观调控政策、部门职能和事业发展需要，合理确定规划期内的支出总量和结构，经财政部门审核汇总并匹配财力后形成的中长期收支计划，作为指导分年度预算的编制和实施周期性管理的预算管理框架。</w:t>
      </w:r>
    </w:p>
    <w:p w14:paraId="2E2F49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预算绩效管理</w:t>
      </w:r>
      <w:r>
        <w:rPr>
          <w:rFonts w:hint="default" w:ascii="Times New Roman" w:hAnsi="Times New Roman" w:eastAsia="仿宋_GB2312" w:cs="Times New Roman"/>
          <w:b w:val="0"/>
          <w:bCs w:val="0"/>
          <w:sz w:val="32"/>
          <w:szCs w:val="32"/>
        </w:rPr>
        <w:t xml:space="preserve">  是指以一级政府财政预算（包括收入和支出）为对象，以政府财政预算在一定时期内所达到的总体产出和结果为内容，以促进政府透明、责任、高效履职为目的所开展的绩效管理活动。</w:t>
      </w:r>
    </w:p>
    <w:p w14:paraId="760FDE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财政事权和支出责任划分改革</w:t>
      </w:r>
      <w:r>
        <w:rPr>
          <w:rFonts w:hint="default" w:ascii="Times New Roman" w:hAnsi="Times New Roman" w:eastAsia="仿宋_GB2312" w:cs="Times New Roman"/>
          <w:b w:val="0"/>
          <w:bCs w:val="0"/>
          <w:sz w:val="32"/>
          <w:szCs w:val="32"/>
        </w:rPr>
        <w:t xml:space="preserve">  财政事权是一级政府应承担的运用财政资金提供基本公共服务的任务和职责，支出责任是政府履行财政事权的支出义务和保障。按照《国务院关于推进中央与地方财政事权和支出责任划分改革的指导意见》（国发〔2016〕49号），财政事权和支出责任划分改革主要内容是坚持体现基本公共服务受益范围，兼顾政府职能和行政效率，实现权、责、利相统一，激励地方政府主动作为，做到支出责任与财政事权相适应的原则，推进中央与地方财政事权划分。完善中央与地方支出责任划分，加快省以下财政事权和支出责任划分。</w:t>
      </w:r>
    </w:p>
    <w:p w14:paraId="259500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预算稳定调节基金</w:t>
      </w:r>
      <w:r>
        <w:rPr>
          <w:rFonts w:hint="default" w:ascii="Times New Roman" w:hAnsi="Times New Roman" w:eastAsia="仿宋_GB2312" w:cs="Times New Roman"/>
          <w:b w:val="0"/>
          <w:bCs w:val="0"/>
          <w:sz w:val="32"/>
          <w:szCs w:val="32"/>
        </w:rPr>
        <w:t xml:space="preserve">  是</w:t>
      </w:r>
      <w:r>
        <w:rPr>
          <w:rFonts w:hint="default" w:ascii="Times New Roman" w:hAnsi="Times New Roman" w:eastAsia="仿宋_GB2312" w:cs="Times New Roman"/>
          <w:b w:val="0"/>
          <w:bCs w:val="0"/>
          <w:spacing w:val="1"/>
          <w:sz w:val="32"/>
          <w:szCs w:val="32"/>
        </w:rPr>
        <w:t>指</w:t>
      </w:r>
      <w:r>
        <w:rPr>
          <w:rFonts w:hint="default" w:ascii="Times New Roman" w:hAnsi="Times New Roman" w:eastAsia="仿宋_GB2312" w:cs="Times New Roman"/>
          <w:b w:val="0"/>
          <w:bCs w:val="0"/>
          <w:spacing w:val="-3"/>
          <w:sz w:val="32"/>
          <w:szCs w:val="32"/>
        </w:rPr>
        <w:t>各级财政通过超收收入和支出预算结余安排的具有储备性质的基金，视预算平衡情况，在安排下年度预算时调入使用，或用于弥补短收年份预算执行的收支缺口。</w:t>
      </w:r>
    </w:p>
    <w:p w14:paraId="34EA58C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零基预算</w:t>
      </w:r>
      <w:r>
        <w:rPr>
          <w:rFonts w:hint="default" w:ascii="Times New Roman" w:hAnsi="Times New Roman" w:eastAsia="仿宋_GB2312" w:cs="Times New Roman"/>
          <w:b w:val="0"/>
          <w:bCs w:val="0"/>
          <w:sz w:val="32"/>
          <w:szCs w:val="32"/>
        </w:rPr>
        <w:t xml:space="preserve">  是指财政部门及预算单位在编制部门预算时，不考虑过去预算安排基数因素，严格按照单位职能和性质、定额和标准，依据需要和可能，以零为基点编制预算的理念。</w:t>
      </w:r>
    </w:p>
    <w:p w14:paraId="5837CFB8">
      <w:pPr>
        <w:spacing w:line="504" w:lineRule="exact"/>
        <w:ind w:firstLine="640" w:firstLineChars="200"/>
      </w:pPr>
      <w:r>
        <w:rPr>
          <w:rFonts w:hint="eastAsia" w:ascii="Times New Roman" w:hAnsi="Times New Roman" w:eastAsia="楷体_GB2312" w:cs="Times New Roman"/>
          <w:b w:val="0"/>
          <w:bCs w:val="0"/>
          <w:kern w:val="0"/>
          <w:sz w:val="32"/>
          <w:szCs w:val="32"/>
          <w:lang w:val="en-US" w:eastAsia="zh-CN" w:bidi="ar"/>
        </w:rPr>
        <w:t>财政资金直达基层机制</w:t>
      </w:r>
      <w:r>
        <w:rPr>
          <w:rFonts w:eastAsia="仿宋_GB2312"/>
          <w:sz w:val="32"/>
          <w:szCs w:val="32"/>
        </w:rPr>
        <w:t xml:space="preserve">  是特殊时期党中央出台的特殊财政政策，</w:t>
      </w:r>
      <w:r>
        <w:rPr>
          <w:rFonts w:hint="eastAsia" w:eastAsia="仿宋_GB2312"/>
          <w:sz w:val="32"/>
          <w:szCs w:val="32"/>
        </w:rPr>
        <w:t>按照“中央切块、省级细化、备案同意、快速直达”的原则分配，财政部主要按照因素法将资金切块到省级，省级财政部门统筹本地实际提出细化到市县的分配方案报财政部备案，财政部审核提出意见反馈省级财政部门，省级财政部门进行相应调整后直接下达到市县。建立资金监控系统，在对直达资金单独下达、单独标识的基础上，通过系统动态监测，确保数据真实、账目清晰、流向明确，资金直达基层、直接惠企利民</w:t>
      </w:r>
      <w:r>
        <w:rPr>
          <w:rFonts w:eastAsia="仿宋_GB2312"/>
          <w:sz w:val="32"/>
          <w:szCs w:val="32"/>
        </w:rPr>
        <w:t>。</w:t>
      </w:r>
    </w:p>
    <w:p w14:paraId="6B93677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sz w:val="32"/>
          <w:szCs w:val="32"/>
        </w:rPr>
      </w:pPr>
    </w:p>
    <w:p w14:paraId="4D9D7A2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sz w:val="32"/>
          <w:szCs w:val="32"/>
        </w:rPr>
      </w:pPr>
    </w:p>
    <w:p w14:paraId="3F09693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sz w:val="32"/>
          <w:szCs w:val="32"/>
        </w:rPr>
      </w:pPr>
    </w:p>
    <w:p w14:paraId="2A807A6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val="0"/>
          <w:sz w:val="32"/>
          <w:szCs w:val="32"/>
        </w:rPr>
      </w:pPr>
    </w:p>
    <w:tbl>
      <w:tblPr>
        <w:tblStyle w:val="9"/>
        <w:tblW w:w="8970" w:type="dxa"/>
        <w:tblInd w:w="0" w:type="dxa"/>
        <w:shd w:val="clear" w:color="auto" w:fill="auto"/>
        <w:tblLayout w:type="fixed"/>
        <w:tblCellMar>
          <w:top w:w="0" w:type="dxa"/>
          <w:left w:w="0" w:type="dxa"/>
          <w:bottom w:w="0" w:type="dxa"/>
          <w:right w:w="0" w:type="dxa"/>
        </w:tblCellMar>
      </w:tblPr>
      <w:tblGrid>
        <w:gridCol w:w="4920"/>
        <w:gridCol w:w="135"/>
        <w:gridCol w:w="2"/>
        <w:gridCol w:w="73"/>
        <w:gridCol w:w="150"/>
        <w:gridCol w:w="15"/>
        <w:gridCol w:w="270"/>
        <w:gridCol w:w="555"/>
        <w:gridCol w:w="2685"/>
        <w:gridCol w:w="15"/>
        <w:gridCol w:w="19"/>
        <w:gridCol w:w="38"/>
        <w:gridCol w:w="18"/>
        <w:gridCol w:w="30"/>
        <w:gridCol w:w="15"/>
        <w:gridCol w:w="15"/>
        <w:gridCol w:w="15"/>
      </w:tblGrid>
      <w:tr w14:paraId="35CD5A8D">
        <w:tblPrEx>
          <w:shd w:val="clear" w:color="auto" w:fill="auto"/>
          <w:tblCellMar>
            <w:top w:w="0" w:type="dxa"/>
            <w:left w:w="0" w:type="dxa"/>
            <w:bottom w:w="0" w:type="dxa"/>
            <w:right w:w="0" w:type="dxa"/>
          </w:tblCellMar>
        </w:tblPrEx>
        <w:trPr>
          <w:gridAfter w:val="6"/>
          <w:wAfter w:w="131" w:type="dxa"/>
          <w:trHeight w:val="141" w:hRule="atLeast"/>
        </w:trPr>
        <w:tc>
          <w:tcPr>
            <w:tcW w:w="8839" w:type="dxa"/>
            <w:gridSpan w:val="11"/>
            <w:tcBorders>
              <w:top w:val="nil"/>
              <w:left w:val="nil"/>
              <w:bottom w:val="nil"/>
              <w:right w:val="nil"/>
            </w:tcBorders>
            <w:shd w:val="clear" w:color="auto" w:fill="auto"/>
            <w:tcMar>
              <w:top w:w="15" w:type="dxa"/>
              <w:left w:w="15" w:type="dxa"/>
              <w:right w:w="15" w:type="dxa"/>
            </w:tcMar>
            <w:vAlign w:val="center"/>
          </w:tcPr>
          <w:p w14:paraId="59B3CE0C">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2021年全市一般公共预算收入表</w:t>
            </w:r>
          </w:p>
        </w:tc>
      </w:tr>
      <w:tr w14:paraId="3CCE3863">
        <w:tblPrEx>
          <w:tblCellMar>
            <w:top w:w="0" w:type="dxa"/>
            <w:left w:w="0" w:type="dxa"/>
            <w:bottom w:w="0" w:type="dxa"/>
            <w:right w:w="0" w:type="dxa"/>
          </w:tblCellMar>
        </w:tblPrEx>
        <w:trPr>
          <w:gridAfter w:val="6"/>
          <w:wAfter w:w="131" w:type="dxa"/>
          <w:trHeight w:val="90" w:hRule="atLeast"/>
        </w:trPr>
        <w:tc>
          <w:tcPr>
            <w:tcW w:w="5057" w:type="dxa"/>
            <w:gridSpan w:val="3"/>
            <w:tcBorders>
              <w:top w:val="nil"/>
              <w:left w:val="nil"/>
              <w:bottom w:val="nil"/>
              <w:right w:val="nil"/>
            </w:tcBorders>
            <w:shd w:val="clear" w:color="auto" w:fill="auto"/>
            <w:tcMar>
              <w:top w:w="15" w:type="dxa"/>
              <w:left w:w="15" w:type="dxa"/>
              <w:right w:w="15" w:type="dxa"/>
            </w:tcMar>
            <w:vAlign w:val="center"/>
          </w:tcPr>
          <w:p w14:paraId="65705001">
            <w:pPr>
              <w:rPr>
                <w:rFonts w:hint="default" w:ascii="Times New Roman" w:hAnsi="Times New Roman" w:eastAsia="黑体" w:cs="Times New Roman"/>
                <w:i w:val="0"/>
                <w:color w:val="000000"/>
                <w:sz w:val="24"/>
                <w:szCs w:val="24"/>
                <w:u w:val="none"/>
              </w:rPr>
            </w:pPr>
          </w:p>
        </w:tc>
        <w:tc>
          <w:tcPr>
            <w:tcW w:w="3782" w:type="dxa"/>
            <w:gridSpan w:val="8"/>
            <w:tcBorders>
              <w:top w:val="nil"/>
              <w:left w:val="nil"/>
              <w:bottom w:val="nil"/>
              <w:right w:val="nil"/>
            </w:tcBorders>
            <w:shd w:val="clear" w:color="auto" w:fill="auto"/>
            <w:tcMar>
              <w:top w:w="15" w:type="dxa"/>
              <w:left w:w="15" w:type="dxa"/>
              <w:right w:w="15" w:type="dxa"/>
            </w:tcMar>
            <w:vAlign w:val="center"/>
          </w:tcPr>
          <w:p w14:paraId="2F071517">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单位：亿元</w:t>
            </w:r>
          </w:p>
        </w:tc>
      </w:tr>
      <w:tr w14:paraId="624D1AE3">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DD58">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DBCC7">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全市</w:t>
            </w:r>
          </w:p>
        </w:tc>
      </w:tr>
      <w:tr w14:paraId="008A3B78">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7F9A">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7"/>
                <w:rFonts w:hint="default" w:ascii="Times New Roman" w:hAnsi="Times New Roman" w:cs="Times New Roman"/>
                <w:sz w:val="24"/>
                <w:szCs w:val="24"/>
                <w:lang w:val="en-US" w:eastAsia="zh-CN" w:bidi="ar"/>
              </w:rPr>
              <w:t>一、税收收入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145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32.40</w:t>
            </w:r>
          </w:p>
        </w:tc>
      </w:tr>
      <w:tr w14:paraId="0AD5BDF6">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63FD">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增值税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455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11.15</w:t>
            </w:r>
          </w:p>
        </w:tc>
      </w:tr>
      <w:tr w14:paraId="0DE6D0E8">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B0A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企业所得税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E06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1.61</w:t>
            </w:r>
          </w:p>
        </w:tc>
      </w:tr>
      <w:tr w14:paraId="3D778C40">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C8C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企业所得税退税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CB9B3">
            <w:pPr>
              <w:jc w:val="center"/>
              <w:rPr>
                <w:rFonts w:hint="default" w:ascii="Times New Roman" w:hAnsi="Times New Roman" w:eastAsia="等线" w:cs="Times New Roman"/>
                <w:i w:val="0"/>
                <w:color w:val="000000"/>
                <w:sz w:val="24"/>
                <w:szCs w:val="24"/>
                <w:u w:val="none"/>
              </w:rPr>
            </w:pPr>
          </w:p>
        </w:tc>
      </w:tr>
      <w:tr w14:paraId="6DDDEC8A">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D67B1">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个人所得税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34E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0.57</w:t>
            </w:r>
          </w:p>
        </w:tc>
      </w:tr>
      <w:tr w14:paraId="6E62AC6F">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0774">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资源税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C0BC">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0.16</w:t>
            </w:r>
          </w:p>
        </w:tc>
      </w:tr>
      <w:tr w14:paraId="36E8E949">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3AD4">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城市维护建设税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319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4.81</w:t>
            </w:r>
          </w:p>
        </w:tc>
      </w:tr>
      <w:tr w14:paraId="39D9DB22">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17F6">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房产税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50B2">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1.52</w:t>
            </w:r>
          </w:p>
        </w:tc>
      </w:tr>
      <w:tr w14:paraId="3FAA85EE">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3C18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印花税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50D0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0.60</w:t>
            </w:r>
          </w:p>
        </w:tc>
      </w:tr>
      <w:tr w14:paraId="73EF9833">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A4BB">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城镇土地使用税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D343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1.56</w:t>
            </w:r>
          </w:p>
        </w:tc>
      </w:tr>
      <w:tr w14:paraId="7DFD6A53">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1F09">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土地增值税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411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3.64 </w:t>
            </w:r>
          </w:p>
        </w:tc>
      </w:tr>
      <w:tr w14:paraId="6B42C59A">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EFED">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车船税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476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1.14 </w:t>
            </w:r>
          </w:p>
        </w:tc>
      </w:tr>
      <w:tr w14:paraId="5386E84E">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DA71D">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耕地占用税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9C3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0.82 </w:t>
            </w:r>
          </w:p>
        </w:tc>
      </w:tr>
      <w:tr w14:paraId="72E3EC89">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0D61">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契税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E02D">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4.77 </w:t>
            </w:r>
          </w:p>
        </w:tc>
      </w:tr>
      <w:tr w14:paraId="32FCF486">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B7E6">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烟叶税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AB2F6">
            <w:pPr>
              <w:jc w:val="center"/>
              <w:rPr>
                <w:rFonts w:hint="default" w:ascii="Times New Roman" w:hAnsi="Times New Roman" w:eastAsia="等线" w:cs="Times New Roman"/>
                <w:i w:val="0"/>
                <w:color w:val="000000"/>
                <w:sz w:val="24"/>
                <w:szCs w:val="24"/>
                <w:u w:val="none"/>
              </w:rPr>
            </w:pPr>
          </w:p>
        </w:tc>
      </w:tr>
      <w:tr w14:paraId="6F1D43EF">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AF39">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环境保护税</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216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0.04 </w:t>
            </w:r>
          </w:p>
        </w:tc>
      </w:tr>
      <w:tr w14:paraId="19ABD4C1">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5D04">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其他税收收入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714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0.01 </w:t>
            </w:r>
          </w:p>
        </w:tc>
      </w:tr>
      <w:tr w14:paraId="11879B26">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9335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7"/>
                <w:rFonts w:hint="default" w:ascii="Times New Roman" w:hAnsi="Times New Roman" w:cs="Times New Roman"/>
                <w:sz w:val="24"/>
                <w:szCs w:val="24"/>
                <w:lang w:val="en-US" w:eastAsia="zh-CN" w:bidi="ar"/>
              </w:rPr>
              <w:t>二、非税收入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F4E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21.95 </w:t>
            </w:r>
          </w:p>
        </w:tc>
      </w:tr>
      <w:tr w14:paraId="4817F77B">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86ED">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专项收入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AAB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14.33 </w:t>
            </w:r>
          </w:p>
        </w:tc>
      </w:tr>
      <w:tr w14:paraId="518C6799">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F4D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行政事业性收费收入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C7E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2.05 </w:t>
            </w:r>
          </w:p>
        </w:tc>
      </w:tr>
      <w:tr w14:paraId="20FA43D7">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6C3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罚没收入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488A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1.83 </w:t>
            </w:r>
          </w:p>
        </w:tc>
      </w:tr>
      <w:tr w14:paraId="4735C498">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058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国有资本经营收入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A64F">
            <w:pPr>
              <w:jc w:val="center"/>
              <w:rPr>
                <w:rFonts w:hint="default" w:ascii="Times New Roman" w:hAnsi="Times New Roman" w:eastAsia="等线" w:cs="Times New Roman"/>
                <w:i w:val="0"/>
                <w:color w:val="000000"/>
                <w:sz w:val="24"/>
                <w:szCs w:val="24"/>
                <w:u w:val="none"/>
              </w:rPr>
            </w:pPr>
          </w:p>
        </w:tc>
      </w:tr>
      <w:tr w14:paraId="09461008">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7A6A">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国有资源（资产）有偿使用收入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EE7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2.38 </w:t>
            </w:r>
          </w:p>
        </w:tc>
      </w:tr>
      <w:tr w14:paraId="7CC42004">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F85F">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捐赠收入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6105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0.40 </w:t>
            </w:r>
          </w:p>
        </w:tc>
      </w:tr>
      <w:tr w14:paraId="636ADA9B">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5945">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政府住房基金收入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3D3C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0.90 </w:t>
            </w:r>
          </w:p>
        </w:tc>
      </w:tr>
      <w:tr w14:paraId="4AD5EB37">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74B17">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18"/>
                <w:rFonts w:hint="default" w:ascii="Times New Roman" w:hAnsi="Times New Roman" w:eastAsia="等线" w:cs="Times New Roman"/>
                <w:sz w:val="24"/>
                <w:szCs w:val="24"/>
                <w:lang w:val="en-US" w:eastAsia="zh-CN" w:bidi="ar"/>
              </w:rPr>
              <w:t xml:space="preserve">    </w:t>
            </w:r>
            <w:r>
              <w:rPr>
                <w:rStyle w:val="17"/>
                <w:rFonts w:hint="default" w:ascii="Times New Roman" w:hAnsi="Times New Roman" w:cs="Times New Roman"/>
                <w:sz w:val="24"/>
                <w:szCs w:val="24"/>
                <w:lang w:val="en-US" w:eastAsia="zh-CN" w:bidi="ar"/>
              </w:rPr>
              <w:t>其他收入</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2566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0.06 </w:t>
            </w:r>
          </w:p>
        </w:tc>
      </w:tr>
      <w:tr w14:paraId="141CFBA4">
        <w:tblPrEx>
          <w:tblCellMar>
            <w:top w:w="0" w:type="dxa"/>
            <w:left w:w="0" w:type="dxa"/>
            <w:bottom w:w="0" w:type="dxa"/>
            <w:right w:w="0" w:type="dxa"/>
          </w:tblCellMar>
        </w:tblPrEx>
        <w:trPr>
          <w:gridAfter w:val="6"/>
          <w:wAfter w:w="131" w:type="dxa"/>
          <w:trHeight w:val="380" w:hRule="atLeast"/>
        </w:trPr>
        <w:tc>
          <w:tcPr>
            <w:tcW w:w="50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2CE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收入合计</w:t>
            </w:r>
          </w:p>
        </w:tc>
        <w:tc>
          <w:tcPr>
            <w:tcW w:w="378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AC9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54.35 </w:t>
            </w:r>
          </w:p>
        </w:tc>
      </w:tr>
      <w:tr w14:paraId="430BCFE4">
        <w:tblPrEx>
          <w:tblCellMar>
            <w:top w:w="0" w:type="dxa"/>
            <w:left w:w="0" w:type="dxa"/>
            <w:bottom w:w="0" w:type="dxa"/>
            <w:right w:w="0" w:type="dxa"/>
          </w:tblCellMar>
        </w:tblPrEx>
        <w:trPr>
          <w:trHeight w:val="570" w:hRule="atLeast"/>
        </w:trPr>
        <w:tc>
          <w:tcPr>
            <w:tcW w:w="8970" w:type="dxa"/>
            <w:gridSpan w:val="17"/>
            <w:tcBorders>
              <w:top w:val="nil"/>
              <w:left w:val="nil"/>
              <w:bottom w:val="nil"/>
              <w:right w:val="nil"/>
            </w:tcBorders>
            <w:shd w:val="clear" w:color="auto" w:fill="auto"/>
            <w:tcMar>
              <w:top w:w="15" w:type="dxa"/>
              <w:left w:w="15" w:type="dxa"/>
              <w:right w:w="15" w:type="dxa"/>
            </w:tcMar>
            <w:vAlign w:val="center"/>
          </w:tcPr>
          <w:p w14:paraId="0C34A73F">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2021年全市一般公共预算支出表</w:t>
            </w:r>
          </w:p>
        </w:tc>
      </w:tr>
      <w:tr w14:paraId="54F27F84">
        <w:tblPrEx>
          <w:tblCellMar>
            <w:top w:w="0" w:type="dxa"/>
            <w:left w:w="0" w:type="dxa"/>
            <w:bottom w:w="0" w:type="dxa"/>
            <w:right w:w="0" w:type="dxa"/>
          </w:tblCellMar>
        </w:tblPrEx>
        <w:trPr>
          <w:trHeight w:val="375" w:hRule="atLeast"/>
        </w:trPr>
        <w:tc>
          <w:tcPr>
            <w:tcW w:w="5565" w:type="dxa"/>
            <w:gridSpan w:val="7"/>
            <w:tcBorders>
              <w:top w:val="nil"/>
              <w:left w:val="nil"/>
              <w:bottom w:val="nil"/>
              <w:right w:val="nil"/>
            </w:tcBorders>
            <w:shd w:val="clear" w:color="auto" w:fill="auto"/>
            <w:tcMar>
              <w:top w:w="15" w:type="dxa"/>
              <w:left w:w="15" w:type="dxa"/>
              <w:right w:w="15" w:type="dxa"/>
            </w:tcMar>
            <w:vAlign w:val="center"/>
          </w:tcPr>
          <w:p w14:paraId="1764165D">
            <w:pPr>
              <w:rPr>
                <w:rFonts w:hint="default" w:ascii="Times New Roman" w:hAnsi="Times New Roman" w:eastAsia="黑体" w:cs="Times New Roman"/>
                <w:i w:val="0"/>
                <w:color w:val="000000"/>
                <w:sz w:val="24"/>
                <w:szCs w:val="24"/>
                <w:u w:val="none"/>
              </w:rPr>
            </w:pPr>
          </w:p>
        </w:tc>
        <w:tc>
          <w:tcPr>
            <w:tcW w:w="3405" w:type="dxa"/>
            <w:gridSpan w:val="10"/>
            <w:tcBorders>
              <w:top w:val="nil"/>
              <w:left w:val="nil"/>
              <w:bottom w:val="nil"/>
              <w:right w:val="nil"/>
            </w:tcBorders>
            <w:shd w:val="clear" w:color="auto" w:fill="auto"/>
            <w:tcMar>
              <w:top w:w="15" w:type="dxa"/>
              <w:left w:w="15" w:type="dxa"/>
              <w:right w:w="15" w:type="dxa"/>
            </w:tcMar>
            <w:vAlign w:val="center"/>
          </w:tcPr>
          <w:p w14:paraId="78F85DCE">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单位：亿元</w:t>
            </w:r>
          </w:p>
        </w:tc>
      </w:tr>
      <w:tr w14:paraId="306B0489">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150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Style w:val="19"/>
                <w:rFonts w:hint="default" w:ascii="Times New Roman" w:hAnsi="Times New Roman" w:cs="Times New Roman"/>
                <w:lang w:val="en-US" w:eastAsia="zh-CN" w:bidi="ar"/>
              </w:rPr>
              <w:t>项目</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8C4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Style w:val="19"/>
                <w:rFonts w:hint="default" w:ascii="Times New Roman" w:hAnsi="Times New Roman" w:cs="Times New Roman"/>
                <w:lang w:val="en-US" w:eastAsia="zh-CN" w:bidi="ar"/>
              </w:rPr>
              <w:t>预算数</w:t>
            </w:r>
          </w:p>
        </w:tc>
      </w:tr>
      <w:tr w14:paraId="3A28C609">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1565C">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一、一般公共服务</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980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22.68 </w:t>
            </w:r>
          </w:p>
        </w:tc>
      </w:tr>
      <w:tr w14:paraId="2E0D1AE8">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15B5">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二、外交支出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18EF6">
            <w:pPr>
              <w:jc w:val="center"/>
              <w:rPr>
                <w:rFonts w:hint="default" w:ascii="Times New Roman" w:hAnsi="Times New Roman" w:eastAsia="等线" w:cs="Times New Roman"/>
                <w:i w:val="0"/>
                <w:color w:val="000000"/>
                <w:sz w:val="24"/>
                <w:szCs w:val="24"/>
                <w:u w:val="none"/>
              </w:rPr>
            </w:pPr>
          </w:p>
        </w:tc>
      </w:tr>
      <w:tr w14:paraId="01AC118A">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25D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三、国防支出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119D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0.22 </w:t>
            </w:r>
          </w:p>
        </w:tc>
      </w:tr>
      <w:tr w14:paraId="4131581F">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0E12">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四、公共安全支出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0C1A1">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7.61 </w:t>
            </w:r>
          </w:p>
        </w:tc>
      </w:tr>
      <w:tr w14:paraId="0D48424F">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56E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五、教育支出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7FC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53.54 </w:t>
            </w:r>
          </w:p>
        </w:tc>
      </w:tr>
      <w:tr w14:paraId="10756FC4">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820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六、科学技术支出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A66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0.96 </w:t>
            </w:r>
          </w:p>
        </w:tc>
      </w:tr>
      <w:tr w14:paraId="22E74F0A">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97F57">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七、文化旅游体育与传媒支出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0C60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5.16 </w:t>
            </w:r>
          </w:p>
        </w:tc>
      </w:tr>
      <w:tr w14:paraId="05F4AFA8">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B4829">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八、社会保障和就业支出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346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39.39 </w:t>
            </w:r>
          </w:p>
        </w:tc>
      </w:tr>
      <w:tr w14:paraId="1BBC566C">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08F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九、卫生健康支出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FDA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33.35 </w:t>
            </w:r>
          </w:p>
        </w:tc>
      </w:tr>
      <w:tr w14:paraId="1F0B411E">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6250BC">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十、节能环保支出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080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3.02 </w:t>
            </w:r>
          </w:p>
        </w:tc>
      </w:tr>
      <w:tr w14:paraId="22FA9C12">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F4A950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十一、城乡社区支出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D0AE2">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7.11 </w:t>
            </w:r>
          </w:p>
        </w:tc>
      </w:tr>
      <w:tr w14:paraId="507312CF">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2E0E5D">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十二、农林水支出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F538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39.24 </w:t>
            </w:r>
          </w:p>
        </w:tc>
      </w:tr>
      <w:tr w14:paraId="01619A1D">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1CB484">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十三、交通运输支出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3C5C">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2.49 </w:t>
            </w:r>
          </w:p>
        </w:tc>
      </w:tr>
      <w:tr w14:paraId="2CE50131">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51904B">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十四、资源勘探工业信息等支出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AC74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2.21 </w:t>
            </w:r>
          </w:p>
        </w:tc>
      </w:tr>
      <w:tr w14:paraId="4BD9B8A3">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BAA9FA">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十五、商业服务业等支出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2CF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0.59 </w:t>
            </w:r>
          </w:p>
        </w:tc>
      </w:tr>
      <w:tr w14:paraId="21C319BE">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22249C">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十六、金融支出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8277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0.01 </w:t>
            </w:r>
          </w:p>
        </w:tc>
      </w:tr>
      <w:tr w14:paraId="75D8D705">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22A77A">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十七、援助其他地区支出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E360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0.14 </w:t>
            </w:r>
          </w:p>
        </w:tc>
      </w:tr>
      <w:tr w14:paraId="4F1731CA">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37CC3F">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十八、自然资源海洋气象等支出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953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2.88 </w:t>
            </w:r>
          </w:p>
        </w:tc>
      </w:tr>
      <w:tr w14:paraId="00AC3A8B">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023E40">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十九、住房保障支出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5343D">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8.55 </w:t>
            </w:r>
          </w:p>
        </w:tc>
      </w:tr>
      <w:tr w14:paraId="3D1A69D1">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D77A8D">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二十、粮油物资储备支出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0CF2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0.74 </w:t>
            </w:r>
          </w:p>
        </w:tc>
      </w:tr>
      <w:tr w14:paraId="457C42F5">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D411C7">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二十一、灾害防治及应急管理支出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441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1.51 </w:t>
            </w:r>
          </w:p>
        </w:tc>
      </w:tr>
      <w:tr w14:paraId="64917F57">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6AAB06">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二十二、预备费</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B2E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2.31 </w:t>
            </w:r>
          </w:p>
        </w:tc>
      </w:tr>
      <w:tr w14:paraId="1512F5F9">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A7B3BF">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二十三、债务付息支出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2A46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1.98 </w:t>
            </w:r>
          </w:p>
        </w:tc>
      </w:tr>
      <w:tr w14:paraId="29CB88AC">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A15C">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二十四、债务发行费用支出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F93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0.01 </w:t>
            </w:r>
          </w:p>
        </w:tc>
      </w:tr>
      <w:tr w14:paraId="4739B985">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7C6F">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Style w:val="20"/>
                <w:rFonts w:hint="default" w:ascii="Times New Roman" w:hAnsi="Times New Roman" w:cs="Times New Roman"/>
                <w:lang w:val="en-US" w:eastAsia="zh-CN" w:bidi="ar"/>
              </w:rPr>
              <w:t>二十五、其他支出</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FA45C">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6.01 </w:t>
            </w:r>
          </w:p>
        </w:tc>
      </w:tr>
      <w:tr w14:paraId="7A11F458">
        <w:tblPrEx>
          <w:tblCellMar>
            <w:top w:w="0" w:type="dxa"/>
            <w:left w:w="0" w:type="dxa"/>
            <w:bottom w:w="0" w:type="dxa"/>
            <w:right w:w="0" w:type="dxa"/>
          </w:tblCellMar>
        </w:tblPrEx>
        <w:trPr>
          <w:trHeight w:val="391"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3D61">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支出合计</w:t>
            </w:r>
          </w:p>
        </w:tc>
        <w:tc>
          <w:tcPr>
            <w:tcW w:w="34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E38C">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 xml:space="preserve">241.71 </w:t>
            </w:r>
          </w:p>
        </w:tc>
      </w:tr>
      <w:tr w14:paraId="793FC970">
        <w:tblPrEx>
          <w:tblCellMar>
            <w:top w:w="0" w:type="dxa"/>
            <w:left w:w="0" w:type="dxa"/>
            <w:bottom w:w="0" w:type="dxa"/>
            <w:right w:w="0" w:type="dxa"/>
          </w:tblCellMar>
        </w:tblPrEx>
        <w:trPr>
          <w:gridAfter w:val="5"/>
          <w:wAfter w:w="93" w:type="dxa"/>
          <w:trHeight w:val="90" w:hRule="atLeast"/>
        </w:trPr>
        <w:tc>
          <w:tcPr>
            <w:tcW w:w="8877" w:type="dxa"/>
            <w:gridSpan w:val="12"/>
            <w:tcBorders>
              <w:top w:val="nil"/>
              <w:left w:val="nil"/>
              <w:bottom w:val="nil"/>
              <w:right w:val="nil"/>
            </w:tcBorders>
            <w:shd w:val="clear" w:color="auto" w:fill="auto"/>
            <w:tcMar>
              <w:top w:w="15" w:type="dxa"/>
              <w:left w:w="15" w:type="dxa"/>
              <w:right w:w="15" w:type="dxa"/>
            </w:tcMar>
            <w:vAlign w:val="center"/>
          </w:tcPr>
          <w:p w14:paraId="66A3E3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2021年全市政府性基金预算收入表</w:t>
            </w:r>
          </w:p>
        </w:tc>
      </w:tr>
      <w:tr w14:paraId="2727DEF9">
        <w:tblPrEx>
          <w:tblCellMar>
            <w:top w:w="0" w:type="dxa"/>
            <w:left w:w="0" w:type="dxa"/>
            <w:bottom w:w="0" w:type="dxa"/>
            <w:right w:w="0" w:type="dxa"/>
          </w:tblCellMar>
        </w:tblPrEx>
        <w:trPr>
          <w:gridAfter w:val="5"/>
          <w:wAfter w:w="93" w:type="dxa"/>
          <w:trHeight w:val="360" w:hRule="atLeast"/>
        </w:trPr>
        <w:tc>
          <w:tcPr>
            <w:tcW w:w="6120" w:type="dxa"/>
            <w:gridSpan w:val="8"/>
            <w:tcBorders>
              <w:top w:val="nil"/>
              <w:left w:val="nil"/>
              <w:bottom w:val="nil"/>
              <w:right w:val="nil"/>
            </w:tcBorders>
            <w:shd w:val="clear" w:color="auto" w:fill="auto"/>
            <w:tcMar>
              <w:top w:w="15" w:type="dxa"/>
              <w:left w:w="15" w:type="dxa"/>
              <w:right w:w="15" w:type="dxa"/>
            </w:tcMar>
            <w:vAlign w:val="center"/>
          </w:tcPr>
          <w:p w14:paraId="320F9EEE">
            <w:pPr>
              <w:rPr>
                <w:rFonts w:hint="default" w:ascii="Times New Roman" w:hAnsi="Times New Roman" w:eastAsia="黑体" w:cs="Times New Roman"/>
                <w:i w:val="0"/>
                <w:color w:val="000000"/>
                <w:sz w:val="24"/>
                <w:szCs w:val="24"/>
                <w:u w:val="none"/>
              </w:rPr>
            </w:pPr>
          </w:p>
        </w:tc>
        <w:tc>
          <w:tcPr>
            <w:tcW w:w="2757" w:type="dxa"/>
            <w:gridSpan w:val="4"/>
            <w:tcBorders>
              <w:top w:val="nil"/>
              <w:left w:val="nil"/>
              <w:bottom w:val="nil"/>
              <w:right w:val="nil"/>
            </w:tcBorders>
            <w:shd w:val="clear" w:color="auto" w:fill="auto"/>
            <w:tcMar>
              <w:top w:w="15" w:type="dxa"/>
              <w:left w:w="15" w:type="dxa"/>
              <w:right w:w="15" w:type="dxa"/>
            </w:tcMar>
            <w:vAlign w:val="center"/>
          </w:tcPr>
          <w:p w14:paraId="477629E3">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单位：亿元</w:t>
            </w:r>
          </w:p>
        </w:tc>
      </w:tr>
      <w:tr w14:paraId="2DB60E5D">
        <w:tblPrEx>
          <w:tblCellMar>
            <w:top w:w="0" w:type="dxa"/>
            <w:left w:w="0" w:type="dxa"/>
            <w:bottom w:w="0" w:type="dxa"/>
            <w:right w:w="0" w:type="dxa"/>
          </w:tblCellMar>
        </w:tblPrEx>
        <w:trPr>
          <w:gridAfter w:val="5"/>
          <w:wAfter w:w="93" w:type="dxa"/>
          <w:trHeight w:val="340"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CA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F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预算数</w:t>
            </w:r>
          </w:p>
        </w:tc>
      </w:tr>
      <w:tr w14:paraId="1A556C1C">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AFF8">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一、农网还贷资金收入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41F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50C5530F">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2D1C">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二、海南省高等级公路车辆通行附加费收入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A0B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6ED0295D">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8E54">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三、港口建设费收入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EE5F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2CD7CB31">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0A92">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四、国家电影事业发展专项资金收入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66B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3A56FE3C">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9105">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五、国有土地收益基金收入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52F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6CF058B0">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E7B8">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六、农业土地开发资金收入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B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0.02 </w:t>
            </w:r>
          </w:p>
        </w:tc>
      </w:tr>
      <w:tr w14:paraId="08020207">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65A0">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七、国有土地使用权出让收入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6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154.30 </w:t>
            </w:r>
          </w:p>
        </w:tc>
      </w:tr>
      <w:tr w14:paraId="5A87734E">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BF042">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八、大中型水库库区基金收入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E78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2D0E318E">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B9A7">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九、彩票公益金收入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2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0.14 </w:t>
            </w:r>
          </w:p>
        </w:tc>
      </w:tr>
      <w:tr w14:paraId="3BE2000D">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1EB3">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十、城市基础设施配套费收入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89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2.36 </w:t>
            </w:r>
          </w:p>
        </w:tc>
      </w:tr>
      <w:tr w14:paraId="1779D316">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EBBC">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十一、小型水库移民扶助基金收入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67B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03DE0AF5">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7295">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十二、国家重大水利工程建设基金收入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2E2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680CB013">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48DF">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十三、车辆通行费</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C0D5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37C7C16E">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78F1">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十四、污水处理费收入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3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0.38 </w:t>
            </w:r>
          </w:p>
        </w:tc>
      </w:tr>
      <w:tr w14:paraId="41731929">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25824">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十五、彩票发行机构和彩票销售机构的业务费用</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CCD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5E68EB7B">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A391">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十六、其他政府性基金收入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4F461">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055FC08C">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E3EB">
            <w:pPr>
              <w:keepNext w:val="0"/>
              <w:keepLines w:val="0"/>
              <w:pageBreakBefore w:val="0"/>
              <w:widowControl/>
              <w:suppressLineNumbers w:val="0"/>
              <w:kinsoku/>
              <w:wordWrap/>
              <w:overflowPunct/>
              <w:topLinePunct w:val="0"/>
              <w:autoSpaceDE/>
              <w:autoSpaceDN/>
              <w:bidi w:val="0"/>
              <w:adjustRightInd/>
              <w:snapToGrid/>
              <w:spacing w:line="32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十七、专项债券对应项目专项收入</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00D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等线" w:cs="Times New Roman"/>
                <w:i w:val="0"/>
                <w:color w:val="000000"/>
                <w:sz w:val="24"/>
                <w:szCs w:val="24"/>
                <w:u w:val="none"/>
              </w:rPr>
            </w:pPr>
          </w:p>
        </w:tc>
      </w:tr>
      <w:tr w14:paraId="764232BC">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5B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收入合计</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3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157.20 </w:t>
            </w:r>
          </w:p>
        </w:tc>
      </w:tr>
      <w:tr w14:paraId="3582898D">
        <w:tblPrEx>
          <w:tblCellMar>
            <w:top w:w="0" w:type="dxa"/>
            <w:left w:w="0" w:type="dxa"/>
            <w:bottom w:w="0" w:type="dxa"/>
            <w:right w:w="0" w:type="dxa"/>
          </w:tblCellMar>
        </w:tblPrEx>
        <w:trPr>
          <w:gridAfter w:val="5"/>
          <w:wAfter w:w="93" w:type="dxa"/>
          <w:trHeight w:val="480" w:hRule="atLeast"/>
        </w:trPr>
        <w:tc>
          <w:tcPr>
            <w:tcW w:w="8877" w:type="dxa"/>
            <w:gridSpan w:val="12"/>
            <w:tcBorders>
              <w:top w:val="nil"/>
              <w:left w:val="nil"/>
              <w:bottom w:val="nil"/>
              <w:right w:val="nil"/>
            </w:tcBorders>
            <w:shd w:val="clear" w:color="auto" w:fill="auto"/>
            <w:tcMar>
              <w:top w:w="15" w:type="dxa"/>
              <w:left w:w="15" w:type="dxa"/>
              <w:right w:w="15" w:type="dxa"/>
            </w:tcMar>
            <w:vAlign w:val="center"/>
          </w:tcPr>
          <w:p w14:paraId="79AD08E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小标宋简体" w:cs="Times New Roman"/>
                <w:i w:val="0"/>
                <w:color w:val="000000"/>
                <w:kern w:val="0"/>
                <w:sz w:val="44"/>
                <w:szCs w:val="44"/>
                <w:u w:val="none"/>
                <w:lang w:val="en-US" w:eastAsia="zh-CN" w:bidi="ar"/>
              </w:rPr>
            </w:pPr>
          </w:p>
          <w:p w14:paraId="3FBFA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2021年全市政府性基金预算支出表</w:t>
            </w:r>
          </w:p>
        </w:tc>
      </w:tr>
      <w:tr w14:paraId="37DB3D3E">
        <w:tblPrEx>
          <w:tblCellMar>
            <w:top w:w="0" w:type="dxa"/>
            <w:left w:w="0" w:type="dxa"/>
            <w:bottom w:w="0" w:type="dxa"/>
            <w:right w:w="0" w:type="dxa"/>
          </w:tblCellMar>
        </w:tblPrEx>
        <w:trPr>
          <w:gridAfter w:val="5"/>
          <w:wAfter w:w="93" w:type="dxa"/>
          <w:trHeight w:val="402" w:hRule="atLeast"/>
        </w:trPr>
        <w:tc>
          <w:tcPr>
            <w:tcW w:w="6120" w:type="dxa"/>
            <w:gridSpan w:val="8"/>
            <w:tcBorders>
              <w:top w:val="nil"/>
              <w:left w:val="nil"/>
              <w:bottom w:val="nil"/>
              <w:right w:val="nil"/>
            </w:tcBorders>
            <w:shd w:val="clear" w:color="auto" w:fill="auto"/>
            <w:tcMar>
              <w:top w:w="15" w:type="dxa"/>
              <w:left w:w="15" w:type="dxa"/>
              <w:right w:w="15" w:type="dxa"/>
            </w:tcMar>
            <w:vAlign w:val="center"/>
          </w:tcPr>
          <w:p w14:paraId="67C3A7AD">
            <w:pPr>
              <w:rPr>
                <w:rFonts w:hint="default" w:ascii="Times New Roman" w:hAnsi="Times New Roman" w:eastAsia="黑体" w:cs="Times New Roman"/>
                <w:i w:val="0"/>
                <w:color w:val="000000"/>
                <w:sz w:val="24"/>
                <w:szCs w:val="24"/>
                <w:u w:val="none"/>
              </w:rPr>
            </w:pPr>
          </w:p>
        </w:tc>
        <w:tc>
          <w:tcPr>
            <w:tcW w:w="2757" w:type="dxa"/>
            <w:gridSpan w:val="4"/>
            <w:tcBorders>
              <w:top w:val="nil"/>
              <w:left w:val="nil"/>
              <w:bottom w:val="nil"/>
              <w:right w:val="nil"/>
            </w:tcBorders>
            <w:shd w:val="clear" w:color="auto" w:fill="auto"/>
            <w:tcMar>
              <w:top w:w="15" w:type="dxa"/>
              <w:left w:w="15" w:type="dxa"/>
              <w:right w:w="15" w:type="dxa"/>
            </w:tcMar>
            <w:vAlign w:val="center"/>
          </w:tcPr>
          <w:p w14:paraId="3B866B11">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单位：亿元</w:t>
            </w:r>
          </w:p>
        </w:tc>
      </w:tr>
      <w:tr w14:paraId="72BB9FA0">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7C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3D8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预算数</w:t>
            </w:r>
          </w:p>
        </w:tc>
      </w:tr>
      <w:tr w14:paraId="3D26647C">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A2901">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一、文化旅游体育与传媒支出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5D1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color w:val="000000"/>
                <w:sz w:val="24"/>
                <w:szCs w:val="24"/>
                <w:u w:val="none"/>
              </w:rPr>
            </w:pPr>
          </w:p>
        </w:tc>
      </w:tr>
      <w:tr w14:paraId="0A8BFABA">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8CB3">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二、社会保障和就业支出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BE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color w:val="000000"/>
                <w:sz w:val="24"/>
                <w:szCs w:val="24"/>
                <w:u w:val="none"/>
              </w:rPr>
            </w:pPr>
          </w:p>
        </w:tc>
      </w:tr>
      <w:tr w14:paraId="00463E9B">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B0060">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三、节能环保支出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4F1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color w:val="000000"/>
                <w:sz w:val="24"/>
                <w:szCs w:val="24"/>
                <w:u w:val="none"/>
              </w:rPr>
            </w:pPr>
          </w:p>
        </w:tc>
      </w:tr>
      <w:tr w14:paraId="6A1F974C">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091D">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四、城乡社区支出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2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149.01</w:t>
            </w:r>
          </w:p>
        </w:tc>
      </w:tr>
      <w:tr w14:paraId="5657B94A">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A6A1">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五、农林水支出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75B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color w:val="000000"/>
                <w:sz w:val="24"/>
                <w:szCs w:val="24"/>
                <w:u w:val="none"/>
              </w:rPr>
            </w:pPr>
          </w:p>
        </w:tc>
      </w:tr>
      <w:tr w14:paraId="4A4D51C4">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F388">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六、交通运输支出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44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color w:val="000000"/>
                <w:sz w:val="24"/>
                <w:szCs w:val="24"/>
                <w:u w:val="none"/>
              </w:rPr>
            </w:pPr>
          </w:p>
        </w:tc>
      </w:tr>
      <w:tr w14:paraId="5DAFB113">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4662">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七、资源勘探工业信息等支出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869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color w:val="000000"/>
                <w:sz w:val="24"/>
                <w:szCs w:val="24"/>
                <w:u w:val="none"/>
              </w:rPr>
            </w:pPr>
          </w:p>
        </w:tc>
      </w:tr>
      <w:tr w14:paraId="79697EFD">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63233">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八、其他支出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3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0.20</w:t>
            </w:r>
          </w:p>
        </w:tc>
      </w:tr>
      <w:tr w14:paraId="3D0F0B49">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8290">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九、债务付息支出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9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3.32</w:t>
            </w:r>
          </w:p>
        </w:tc>
      </w:tr>
      <w:tr w14:paraId="53AC8917">
        <w:tblPrEx>
          <w:tblCellMar>
            <w:top w:w="0" w:type="dxa"/>
            <w:left w:w="0" w:type="dxa"/>
            <w:bottom w:w="0" w:type="dxa"/>
            <w:right w:w="0" w:type="dxa"/>
          </w:tblCellMar>
        </w:tblPrEx>
        <w:trPr>
          <w:gridAfter w:val="5"/>
          <w:wAfter w:w="93"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3835">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十、债务发行费用支出</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4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0.42</w:t>
            </w:r>
          </w:p>
        </w:tc>
      </w:tr>
      <w:tr w14:paraId="61ED04FC">
        <w:tblPrEx>
          <w:tblCellMar>
            <w:top w:w="0" w:type="dxa"/>
            <w:left w:w="0" w:type="dxa"/>
            <w:bottom w:w="0" w:type="dxa"/>
            <w:right w:w="0" w:type="dxa"/>
          </w:tblCellMar>
        </w:tblPrEx>
        <w:trPr>
          <w:gridAfter w:val="5"/>
          <w:wAfter w:w="93" w:type="dxa"/>
          <w:trHeight w:val="90"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F6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Style w:val="21"/>
                <w:rFonts w:hint="default" w:ascii="Times New Roman" w:hAnsi="Times New Roman" w:cs="Times New Roman"/>
                <w:lang w:val="en-US" w:eastAsia="zh-CN" w:bidi="ar"/>
              </w:rPr>
              <w:t>支出合计</w:t>
            </w:r>
          </w:p>
        </w:tc>
        <w:tc>
          <w:tcPr>
            <w:tcW w:w="2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A8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152.95</w:t>
            </w:r>
          </w:p>
        </w:tc>
      </w:tr>
      <w:tr w14:paraId="73790172">
        <w:tblPrEx>
          <w:tblCellMar>
            <w:top w:w="0" w:type="dxa"/>
            <w:left w:w="0" w:type="dxa"/>
            <w:bottom w:w="0" w:type="dxa"/>
            <w:right w:w="0" w:type="dxa"/>
          </w:tblCellMar>
        </w:tblPrEx>
        <w:trPr>
          <w:gridAfter w:val="1"/>
          <w:wAfter w:w="15" w:type="dxa"/>
          <w:trHeight w:val="675" w:hRule="atLeast"/>
        </w:trPr>
        <w:tc>
          <w:tcPr>
            <w:tcW w:w="8955" w:type="dxa"/>
            <w:gridSpan w:val="16"/>
            <w:tcBorders>
              <w:top w:val="nil"/>
              <w:left w:val="nil"/>
              <w:bottom w:val="nil"/>
              <w:right w:val="nil"/>
            </w:tcBorders>
            <w:shd w:val="clear" w:color="auto" w:fill="auto"/>
            <w:tcMar>
              <w:top w:w="15" w:type="dxa"/>
              <w:left w:w="15" w:type="dxa"/>
              <w:right w:w="15" w:type="dxa"/>
            </w:tcMar>
            <w:vAlign w:val="center"/>
          </w:tcPr>
          <w:p w14:paraId="3738880D">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2021年全市国有资本经营预算收入表</w:t>
            </w:r>
          </w:p>
        </w:tc>
      </w:tr>
      <w:tr w14:paraId="7FBAB307">
        <w:tblPrEx>
          <w:tblCellMar>
            <w:top w:w="0" w:type="dxa"/>
            <w:left w:w="0" w:type="dxa"/>
            <w:bottom w:w="0" w:type="dxa"/>
            <w:right w:w="0" w:type="dxa"/>
          </w:tblCellMar>
        </w:tblPrEx>
        <w:trPr>
          <w:gridAfter w:val="1"/>
          <w:wAfter w:w="15" w:type="dxa"/>
          <w:trHeight w:val="402" w:hRule="atLeast"/>
        </w:trPr>
        <w:tc>
          <w:tcPr>
            <w:tcW w:w="5280" w:type="dxa"/>
            <w:gridSpan w:val="5"/>
            <w:tcBorders>
              <w:top w:val="nil"/>
              <w:left w:val="nil"/>
              <w:bottom w:val="nil"/>
              <w:right w:val="nil"/>
            </w:tcBorders>
            <w:shd w:val="clear" w:color="auto" w:fill="auto"/>
            <w:tcMar>
              <w:top w:w="15" w:type="dxa"/>
              <w:left w:w="15" w:type="dxa"/>
              <w:right w:w="15" w:type="dxa"/>
            </w:tcMar>
            <w:vAlign w:val="center"/>
          </w:tcPr>
          <w:p w14:paraId="7A94F07A">
            <w:pPr>
              <w:rPr>
                <w:rFonts w:hint="default" w:ascii="Times New Roman" w:hAnsi="Times New Roman" w:eastAsia="黑体" w:cs="Times New Roman"/>
                <w:i w:val="0"/>
                <w:color w:val="000000"/>
                <w:sz w:val="24"/>
                <w:szCs w:val="24"/>
                <w:u w:val="none"/>
              </w:rPr>
            </w:pPr>
          </w:p>
        </w:tc>
        <w:tc>
          <w:tcPr>
            <w:tcW w:w="3675" w:type="dxa"/>
            <w:gridSpan w:val="11"/>
            <w:tcBorders>
              <w:top w:val="nil"/>
              <w:left w:val="nil"/>
              <w:bottom w:val="nil"/>
              <w:right w:val="nil"/>
            </w:tcBorders>
            <w:shd w:val="clear" w:color="auto" w:fill="auto"/>
            <w:tcMar>
              <w:top w:w="15" w:type="dxa"/>
              <w:left w:w="15" w:type="dxa"/>
              <w:right w:w="15" w:type="dxa"/>
            </w:tcMar>
            <w:vAlign w:val="center"/>
          </w:tcPr>
          <w:p w14:paraId="303D9DD9">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单位：万元</w:t>
            </w:r>
          </w:p>
        </w:tc>
      </w:tr>
      <w:tr w14:paraId="552B1D14">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3E40A4">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   目</w:t>
            </w:r>
          </w:p>
        </w:tc>
        <w:tc>
          <w:tcPr>
            <w:tcW w:w="3675" w:type="dxa"/>
            <w:gridSpan w:val="11"/>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2AD839B9">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收   入</w:t>
            </w:r>
          </w:p>
        </w:tc>
      </w:tr>
      <w:tr w14:paraId="0AE6FE75">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BAD4E">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一、利润收入</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3D2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287.41 </w:t>
            </w:r>
          </w:p>
        </w:tc>
      </w:tr>
      <w:tr w14:paraId="0073F611">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D064">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二、股利、股息收入</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1BEE">
            <w:pPr>
              <w:jc w:val="center"/>
              <w:rPr>
                <w:rFonts w:hint="default" w:ascii="Times New Roman" w:hAnsi="Times New Roman" w:eastAsia="等线" w:cs="Times New Roman"/>
                <w:i w:val="0"/>
                <w:color w:val="000000"/>
                <w:sz w:val="24"/>
                <w:szCs w:val="24"/>
                <w:u w:val="none"/>
              </w:rPr>
            </w:pPr>
          </w:p>
        </w:tc>
      </w:tr>
      <w:tr w14:paraId="03962F7A">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5CCE">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三、产权转让收入</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2D4F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360.00 </w:t>
            </w:r>
          </w:p>
        </w:tc>
      </w:tr>
      <w:tr w14:paraId="6DD8830B">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81B3D">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四、清算收入</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DB6D">
            <w:pPr>
              <w:jc w:val="center"/>
              <w:rPr>
                <w:rFonts w:hint="default" w:ascii="Times New Roman" w:hAnsi="Times New Roman" w:eastAsia="等线" w:cs="Times New Roman"/>
                <w:i w:val="0"/>
                <w:color w:val="000000"/>
                <w:sz w:val="24"/>
                <w:szCs w:val="24"/>
                <w:u w:val="none"/>
              </w:rPr>
            </w:pPr>
          </w:p>
        </w:tc>
      </w:tr>
      <w:tr w14:paraId="441B8DB1">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D71CD">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五、其他国有资本经营预算收入</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9268">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20.00 </w:t>
            </w:r>
          </w:p>
        </w:tc>
      </w:tr>
      <w:tr w14:paraId="7075B393">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7CB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收入</w:t>
            </w:r>
            <w:r>
              <w:rPr>
                <w:rFonts w:hint="eastAsia" w:cs="Times New Roman"/>
                <w:i w:val="0"/>
                <w:color w:val="000000"/>
                <w:kern w:val="0"/>
                <w:sz w:val="24"/>
                <w:szCs w:val="24"/>
                <w:u w:val="none"/>
                <w:lang w:val="en-US" w:eastAsia="zh-CN" w:bidi="ar"/>
              </w:rPr>
              <w:t>合</w:t>
            </w:r>
            <w:r>
              <w:rPr>
                <w:rFonts w:hint="default" w:ascii="Times New Roman" w:hAnsi="Times New Roman" w:eastAsia="宋体" w:cs="Times New Roman"/>
                <w:i w:val="0"/>
                <w:color w:val="000000"/>
                <w:kern w:val="0"/>
                <w:sz w:val="24"/>
                <w:szCs w:val="24"/>
                <w:u w:val="none"/>
                <w:lang w:val="en-US" w:eastAsia="zh-CN" w:bidi="ar"/>
              </w:rPr>
              <w:t>计</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CF8F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667.41 </w:t>
            </w:r>
          </w:p>
        </w:tc>
      </w:tr>
      <w:tr w14:paraId="470AEA45">
        <w:tblPrEx>
          <w:tblCellMar>
            <w:top w:w="0" w:type="dxa"/>
            <w:left w:w="0" w:type="dxa"/>
            <w:bottom w:w="0" w:type="dxa"/>
            <w:right w:w="0" w:type="dxa"/>
          </w:tblCellMar>
        </w:tblPrEx>
        <w:trPr>
          <w:gridAfter w:val="1"/>
          <w:wAfter w:w="15" w:type="dxa"/>
          <w:trHeight w:val="690" w:hRule="atLeast"/>
        </w:trPr>
        <w:tc>
          <w:tcPr>
            <w:tcW w:w="8955" w:type="dxa"/>
            <w:gridSpan w:val="16"/>
            <w:tcBorders>
              <w:top w:val="nil"/>
              <w:left w:val="nil"/>
              <w:bottom w:val="nil"/>
              <w:right w:val="nil"/>
            </w:tcBorders>
            <w:shd w:val="clear" w:color="auto" w:fill="auto"/>
            <w:tcMar>
              <w:top w:w="15" w:type="dxa"/>
              <w:left w:w="15" w:type="dxa"/>
              <w:right w:w="15" w:type="dxa"/>
            </w:tcMar>
            <w:vAlign w:val="center"/>
          </w:tcPr>
          <w:p w14:paraId="08BEF07F">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2021年全市国有资本经营预算支出表</w:t>
            </w:r>
          </w:p>
        </w:tc>
      </w:tr>
      <w:tr w14:paraId="2A73B893">
        <w:tblPrEx>
          <w:tblCellMar>
            <w:top w:w="0" w:type="dxa"/>
            <w:left w:w="0" w:type="dxa"/>
            <w:bottom w:w="0" w:type="dxa"/>
            <w:right w:w="0" w:type="dxa"/>
          </w:tblCellMar>
        </w:tblPrEx>
        <w:trPr>
          <w:gridAfter w:val="1"/>
          <w:wAfter w:w="15" w:type="dxa"/>
          <w:trHeight w:val="402" w:hRule="atLeast"/>
        </w:trPr>
        <w:tc>
          <w:tcPr>
            <w:tcW w:w="5280" w:type="dxa"/>
            <w:gridSpan w:val="5"/>
            <w:tcBorders>
              <w:top w:val="nil"/>
              <w:left w:val="nil"/>
              <w:bottom w:val="nil"/>
              <w:right w:val="nil"/>
            </w:tcBorders>
            <w:shd w:val="clear" w:color="auto" w:fill="auto"/>
            <w:tcMar>
              <w:top w:w="15" w:type="dxa"/>
              <w:left w:w="15" w:type="dxa"/>
              <w:right w:w="15" w:type="dxa"/>
            </w:tcMar>
            <w:vAlign w:val="center"/>
          </w:tcPr>
          <w:p w14:paraId="5136F9EB">
            <w:pPr>
              <w:rPr>
                <w:rFonts w:hint="default" w:ascii="Times New Roman" w:hAnsi="Times New Roman" w:eastAsia="黑体" w:cs="Times New Roman"/>
                <w:i w:val="0"/>
                <w:color w:val="000000"/>
                <w:sz w:val="24"/>
                <w:szCs w:val="24"/>
                <w:u w:val="none"/>
              </w:rPr>
            </w:pPr>
          </w:p>
        </w:tc>
        <w:tc>
          <w:tcPr>
            <w:tcW w:w="3675" w:type="dxa"/>
            <w:gridSpan w:val="11"/>
            <w:tcBorders>
              <w:top w:val="nil"/>
              <w:left w:val="nil"/>
              <w:bottom w:val="nil"/>
              <w:right w:val="nil"/>
            </w:tcBorders>
            <w:shd w:val="clear" w:color="auto" w:fill="auto"/>
            <w:tcMar>
              <w:top w:w="15" w:type="dxa"/>
              <w:left w:w="15" w:type="dxa"/>
              <w:right w:w="15" w:type="dxa"/>
            </w:tcMar>
            <w:vAlign w:val="center"/>
          </w:tcPr>
          <w:p w14:paraId="08A54DD4">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单位：万元</w:t>
            </w:r>
          </w:p>
        </w:tc>
      </w:tr>
      <w:tr w14:paraId="4099724B">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8DF4">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   目</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81F2">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支   出</w:t>
            </w:r>
          </w:p>
        </w:tc>
      </w:tr>
      <w:tr w14:paraId="160F556C">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2E68">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一、解决历史遗留问题及改革成本支出</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9099">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402.41 </w:t>
            </w:r>
          </w:p>
        </w:tc>
      </w:tr>
      <w:tr w14:paraId="1E2EFD37">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EBCB2">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二、国有企业资本金注入</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234F">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127.00 </w:t>
            </w:r>
          </w:p>
        </w:tc>
      </w:tr>
      <w:tr w14:paraId="3C8D2106">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F854">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三、国有企业政策性补贴</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3B52">
            <w:pPr>
              <w:jc w:val="center"/>
              <w:rPr>
                <w:rFonts w:hint="default" w:ascii="Times New Roman" w:hAnsi="Times New Roman" w:cs="Times New Roman" w:eastAsiaTheme="minorEastAsia"/>
                <w:i w:val="0"/>
                <w:color w:val="000000"/>
                <w:sz w:val="24"/>
                <w:szCs w:val="24"/>
                <w:u w:val="none"/>
              </w:rPr>
            </w:pPr>
          </w:p>
        </w:tc>
      </w:tr>
      <w:tr w14:paraId="3300C741">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5AF68">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四、金融国有资本经营预算支出</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4A61">
            <w:pPr>
              <w:jc w:val="center"/>
              <w:rPr>
                <w:rFonts w:hint="default" w:ascii="Times New Roman" w:hAnsi="Times New Roman" w:cs="Times New Roman" w:eastAsiaTheme="minorEastAsia"/>
                <w:i w:val="0"/>
                <w:color w:val="000000"/>
                <w:sz w:val="24"/>
                <w:szCs w:val="24"/>
                <w:u w:val="none"/>
              </w:rPr>
            </w:pPr>
          </w:p>
        </w:tc>
      </w:tr>
      <w:tr w14:paraId="23A8D779">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7819">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五、其他国有资本经营预算支出</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96A9">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979.00 </w:t>
            </w:r>
          </w:p>
        </w:tc>
      </w:tr>
      <w:tr w14:paraId="4BBAAB97">
        <w:tblPrEx>
          <w:tblCellMar>
            <w:top w:w="0" w:type="dxa"/>
            <w:left w:w="0" w:type="dxa"/>
            <w:bottom w:w="0" w:type="dxa"/>
            <w:right w:w="0" w:type="dxa"/>
          </w:tblCellMar>
        </w:tblPrEx>
        <w:trPr>
          <w:gridAfter w:val="1"/>
          <w:wAfter w:w="15" w:type="dxa"/>
          <w:trHeight w:val="660" w:hRule="atLeast"/>
        </w:trPr>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D089">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支出</w:t>
            </w:r>
            <w:r>
              <w:rPr>
                <w:rFonts w:hint="eastAsia" w:cs="Times New Roman" w:eastAsiaTheme="minorEastAsia"/>
                <w:i w:val="0"/>
                <w:color w:val="000000"/>
                <w:kern w:val="0"/>
                <w:sz w:val="24"/>
                <w:szCs w:val="24"/>
                <w:u w:val="none"/>
                <w:lang w:val="en-US" w:eastAsia="zh-CN" w:bidi="ar"/>
              </w:rPr>
              <w:t>合</w:t>
            </w:r>
            <w:r>
              <w:rPr>
                <w:rFonts w:hint="default" w:ascii="Times New Roman" w:hAnsi="Times New Roman" w:cs="Times New Roman" w:eastAsiaTheme="minorEastAsia"/>
                <w:i w:val="0"/>
                <w:color w:val="000000"/>
                <w:kern w:val="0"/>
                <w:sz w:val="24"/>
                <w:szCs w:val="24"/>
                <w:u w:val="none"/>
                <w:lang w:val="en-US" w:eastAsia="zh-CN" w:bidi="ar"/>
              </w:rPr>
              <w:t>计</w:t>
            </w:r>
          </w:p>
        </w:tc>
        <w:tc>
          <w:tcPr>
            <w:tcW w:w="367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9049">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 xml:space="preserve">1508.41 </w:t>
            </w:r>
          </w:p>
        </w:tc>
      </w:tr>
      <w:tr w14:paraId="00BD2BBC">
        <w:tblPrEx>
          <w:tblCellMar>
            <w:top w:w="0" w:type="dxa"/>
            <w:left w:w="0" w:type="dxa"/>
            <w:bottom w:w="0" w:type="dxa"/>
            <w:right w:w="0" w:type="dxa"/>
          </w:tblCellMar>
        </w:tblPrEx>
        <w:trPr>
          <w:gridAfter w:val="2"/>
          <w:wAfter w:w="30" w:type="dxa"/>
          <w:trHeight w:val="570" w:hRule="atLeast"/>
        </w:trPr>
        <w:tc>
          <w:tcPr>
            <w:tcW w:w="8940" w:type="dxa"/>
            <w:gridSpan w:val="15"/>
            <w:tcBorders>
              <w:top w:val="nil"/>
              <w:left w:val="nil"/>
              <w:bottom w:val="nil"/>
              <w:right w:val="nil"/>
            </w:tcBorders>
            <w:shd w:val="clear" w:color="auto" w:fill="auto"/>
            <w:tcMar>
              <w:top w:w="15" w:type="dxa"/>
              <w:left w:w="15" w:type="dxa"/>
              <w:right w:w="15" w:type="dxa"/>
            </w:tcMar>
            <w:vAlign w:val="center"/>
          </w:tcPr>
          <w:p w14:paraId="05C5C6B1">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2021年全市社会保险基金预算收入表</w:t>
            </w:r>
          </w:p>
        </w:tc>
      </w:tr>
      <w:tr w14:paraId="42D1CA15">
        <w:tblPrEx>
          <w:tblCellMar>
            <w:top w:w="0" w:type="dxa"/>
            <w:left w:w="0" w:type="dxa"/>
            <w:bottom w:w="0" w:type="dxa"/>
            <w:right w:w="0" w:type="dxa"/>
          </w:tblCellMar>
        </w:tblPrEx>
        <w:trPr>
          <w:gridAfter w:val="2"/>
          <w:wAfter w:w="30" w:type="dxa"/>
          <w:trHeight w:val="390" w:hRule="atLeast"/>
        </w:trPr>
        <w:tc>
          <w:tcPr>
            <w:tcW w:w="5130" w:type="dxa"/>
            <w:gridSpan w:val="4"/>
            <w:tcBorders>
              <w:top w:val="nil"/>
              <w:left w:val="nil"/>
              <w:bottom w:val="nil"/>
              <w:right w:val="nil"/>
            </w:tcBorders>
            <w:shd w:val="clear" w:color="auto" w:fill="auto"/>
            <w:tcMar>
              <w:top w:w="15" w:type="dxa"/>
              <w:left w:w="15" w:type="dxa"/>
              <w:right w:w="15" w:type="dxa"/>
            </w:tcMar>
            <w:vAlign w:val="center"/>
          </w:tcPr>
          <w:p w14:paraId="0689D9F9">
            <w:pPr>
              <w:rPr>
                <w:rFonts w:hint="default" w:ascii="Times New Roman" w:hAnsi="Times New Roman" w:eastAsia="黑体" w:cs="Times New Roman"/>
                <w:i w:val="0"/>
                <w:color w:val="000000"/>
                <w:sz w:val="24"/>
                <w:szCs w:val="24"/>
                <w:u w:val="none"/>
              </w:rPr>
            </w:pPr>
          </w:p>
        </w:tc>
        <w:tc>
          <w:tcPr>
            <w:tcW w:w="3810" w:type="dxa"/>
            <w:gridSpan w:val="11"/>
            <w:tcBorders>
              <w:top w:val="nil"/>
              <w:left w:val="nil"/>
              <w:bottom w:val="nil"/>
              <w:right w:val="nil"/>
            </w:tcBorders>
            <w:shd w:val="clear" w:color="auto" w:fill="auto"/>
            <w:tcMar>
              <w:top w:w="15" w:type="dxa"/>
              <w:left w:w="15" w:type="dxa"/>
              <w:right w:w="15" w:type="dxa"/>
            </w:tcMar>
            <w:vAlign w:val="center"/>
          </w:tcPr>
          <w:p w14:paraId="74D18866">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单位：亿元</w:t>
            </w:r>
          </w:p>
        </w:tc>
      </w:tr>
      <w:tr w14:paraId="785D3BEB">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73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   目</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EB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当年收入</w:t>
            </w:r>
          </w:p>
        </w:tc>
      </w:tr>
      <w:tr w14:paraId="434D7E05">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2922">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企业职工基本养老保险基金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8B6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color w:val="000000"/>
                <w:sz w:val="24"/>
                <w:szCs w:val="24"/>
                <w:u w:val="none"/>
              </w:rPr>
            </w:pPr>
          </w:p>
        </w:tc>
      </w:tr>
      <w:tr w14:paraId="0A1E3265">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A024">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城乡居民基本养老保险基金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7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11.22 </w:t>
            </w:r>
          </w:p>
        </w:tc>
      </w:tr>
      <w:tr w14:paraId="321E2C83">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3714">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机关事业单位基本养老保险基金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3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22.19 </w:t>
            </w:r>
          </w:p>
        </w:tc>
      </w:tr>
      <w:tr w14:paraId="20C4C994">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C3D9">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职工基本医疗保险基金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C1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10.15 </w:t>
            </w:r>
          </w:p>
        </w:tc>
      </w:tr>
      <w:tr w14:paraId="42DE91D5">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55A4">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城乡居民基本医疗保险基金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01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26.33 </w:t>
            </w:r>
          </w:p>
        </w:tc>
      </w:tr>
      <w:tr w14:paraId="351D7716">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DC40">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工伤保险基金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C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0.49 </w:t>
            </w:r>
          </w:p>
        </w:tc>
      </w:tr>
      <w:tr w14:paraId="32DC41A2">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9880">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失业保险基金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76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0.52 </w:t>
            </w:r>
          </w:p>
        </w:tc>
      </w:tr>
      <w:tr w14:paraId="6CF6F52B">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ADBF5">
            <w:pPr>
              <w:keepNext w:val="0"/>
              <w:keepLines w:val="0"/>
              <w:pageBreakBefore w:val="0"/>
              <w:widowControl/>
              <w:suppressLineNumbers w:val="0"/>
              <w:kinsoku/>
              <w:wordWrap/>
              <w:overflowPunct/>
              <w:topLinePunct w:val="0"/>
              <w:autoSpaceDE/>
              <w:autoSpaceDN/>
              <w:bidi w:val="0"/>
              <w:adjustRightInd/>
              <w:snapToGrid/>
              <w:spacing w:line="300" w:lineRule="exact"/>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生育保险基金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B1D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color w:val="000000"/>
                <w:sz w:val="24"/>
                <w:szCs w:val="24"/>
                <w:u w:val="none"/>
              </w:rPr>
            </w:pPr>
          </w:p>
        </w:tc>
      </w:tr>
      <w:tr w14:paraId="6E0B0602">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0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收入合计</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6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70.90 </w:t>
            </w:r>
          </w:p>
        </w:tc>
      </w:tr>
      <w:tr w14:paraId="3CCCF987">
        <w:tblPrEx>
          <w:tblCellMar>
            <w:top w:w="0" w:type="dxa"/>
            <w:left w:w="0" w:type="dxa"/>
            <w:bottom w:w="0" w:type="dxa"/>
            <w:right w:w="0" w:type="dxa"/>
          </w:tblCellMar>
        </w:tblPrEx>
        <w:trPr>
          <w:gridAfter w:val="2"/>
          <w:wAfter w:w="30" w:type="dxa"/>
          <w:trHeight w:val="570" w:hRule="atLeast"/>
        </w:trPr>
        <w:tc>
          <w:tcPr>
            <w:tcW w:w="8940" w:type="dxa"/>
            <w:gridSpan w:val="15"/>
            <w:tcBorders>
              <w:top w:val="nil"/>
              <w:left w:val="nil"/>
              <w:bottom w:val="nil"/>
              <w:right w:val="nil"/>
            </w:tcBorders>
            <w:shd w:val="clear" w:color="auto" w:fill="auto"/>
            <w:tcMar>
              <w:top w:w="15" w:type="dxa"/>
              <w:left w:w="15" w:type="dxa"/>
              <w:right w:w="15" w:type="dxa"/>
            </w:tcMar>
            <w:vAlign w:val="center"/>
          </w:tcPr>
          <w:p w14:paraId="781CF22C">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2021年全市社会保险基金预算支出表</w:t>
            </w:r>
          </w:p>
        </w:tc>
      </w:tr>
      <w:tr w14:paraId="20247D4E">
        <w:tblPrEx>
          <w:tblCellMar>
            <w:top w:w="0" w:type="dxa"/>
            <w:left w:w="0" w:type="dxa"/>
            <w:bottom w:w="0" w:type="dxa"/>
            <w:right w:w="0" w:type="dxa"/>
          </w:tblCellMar>
        </w:tblPrEx>
        <w:trPr>
          <w:gridAfter w:val="2"/>
          <w:wAfter w:w="30" w:type="dxa"/>
          <w:trHeight w:val="390" w:hRule="atLeast"/>
        </w:trPr>
        <w:tc>
          <w:tcPr>
            <w:tcW w:w="5130" w:type="dxa"/>
            <w:gridSpan w:val="4"/>
            <w:tcBorders>
              <w:top w:val="nil"/>
              <w:left w:val="nil"/>
              <w:bottom w:val="nil"/>
              <w:right w:val="nil"/>
            </w:tcBorders>
            <w:shd w:val="clear" w:color="auto" w:fill="auto"/>
            <w:tcMar>
              <w:top w:w="15" w:type="dxa"/>
              <w:left w:w="15" w:type="dxa"/>
              <w:right w:w="15" w:type="dxa"/>
            </w:tcMar>
            <w:vAlign w:val="bottom"/>
          </w:tcPr>
          <w:p w14:paraId="6B7B4D80">
            <w:pPr>
              <w:rPr>
                <w:rFonts w:hint="default" w:ascii="Times New Roman" w:hAnsi="Times New Roman" w:eastAsia="黑体" w:cs="Times New Roman"/>
                <w:i w:val="0"/>
                <w:color w:val="000000"/>
                <w:sz w:val="24"/>
                <w:szCs w:val="24"/>
                <w:u w:val="none"/>
              </w:rPr>
            </w:pPr>
          </w:p>
        </w:tc>
        <w:tc>
          <w:tcPr>
            <w:tcW w:w="3810" w:type="dxa"/>
            <w:gridSpan w:val="11"/>
            <w:tcBorders>
              <w:top w:val="nil"/>
              <w:left w:val="nil"/>
              <w:bottom w:val="nil"/>
              <w:right w:val="nil"/>
            </w:tcBorders>
            <w:shd w:val="clear" w:color="auto" w:fill="auto"/>
            <w:tcMar>
              <w:top w:w="15" w:type="dxa"/>
              <w:left w:w="15" w:type="dxa"/>
              <w:right w:w="15" w:type="dxa"/>
            </w:tcMar>
            <w:vAlign w:val="center"/>
          </w:tcPr>
          <w:p w14:paraId="29968576">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单位：亿元</w:t>
            </w:r>
          </w:p>
        </w:tc>
      </w:tr>
      <w:tr w14:paraId="5CF33595">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2DFE4">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   目</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19F9">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支出</w:t>
            </w:r>
          </w:p>
        </w:tc>
      </w:tr>
      <w:tr w14:paraId="6FA841EA">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7F7E">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企业职工基本养老保险基金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9D1A">
            <w:pPr>
              <w:jc w:val="center"/>
              <w:rPr>
                <w:rFonts w:hint="default" w:ascii="Times New Roman" w:hAnsi="Times New Roman" w:eastAsia="等线" w:cs="Times New Roman"/>
                <w:i w:val="0"/>
                <w:color w:val="000000"/>
                <w:sz w:val="24"/>
                <w:szCs w:val="24"/>
                <w:u w:val="none"/>
              </w:rPr>
            </w:pPr>
          </w:p>
        </w:tc>
      </w:tr>
      <w:tr w14:paraId="357CB55B">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1C5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城乡居民基本养老保险基金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CB1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10.78 </w:t>
            </w:r>
          </w:p>
        </w:tc>
      </w:tr>
      <w:tr w14:paraId="4D2DBAD3">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994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机关事业单位基本养老保险基金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9CF1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23.26 </w:t>
            </w:r>
          </w:p>
        </w:tc>
      </w:tr>
      <w:tr w14:paraId="6D7A45F3">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21E00">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职工基本医疗保险基金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D78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9.95 </w:t>
            </w:r>
          </w:p>
        </w:tc>
      </w:tr>
      <w:tr w14:paraId="347F2929">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16DA6">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城乡居民基本医疗保险基金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E43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25.79 </w:t>
            </w:r>
          </w:p>
        </w:tc>
      </w:tr>
      <w:tr w14:paraId="620653BA">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7B4FA">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工伤保险基金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33BF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0.39 </w:t>
            </w:r>
          </w:p>
        </w:tc>
      </w:tr>
      <w:tr w14:paraId="4F3FABAC">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3F1C">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失业保险基金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E73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0.93 </w:t>
            </w:r>
          </w:p>
        </w:tc>
      </w:tr>
      <w:tr w14:paraId="4D621D59">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07D0">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生育保险基金</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D5A9">
            <w:pPr>
              <w:jc w:val="center"/>
              <w:rPr>
                <w:rFonts w:hint="default" w:ascii="Times New Roman" w:hAnsi="Times New Roman" w:eastAsia="等线" w:cs="Times New Roman"/>
                <w:i w:val="0"/>
                <w:color w:val="000000"/>
                <w:sz w:val="24"/>
                <w:szCs w:val="24"/>
                <w:u w:val="none"/>
              </w:rPr>
            </w:pPr>
          </w:p>
        </w:tc>
      </w:tr>
      <w:tr w14:paraId="23DCAD5B">
        <w:tblPrEx>
          <w:tblCellMar>
            <w:top w:w="0" w:type="dxa"/>
            <w:left w:w="0" w:type="dxa"/>
            <w:bottom w:w="0" w:type="dxa"/>
            <w:right w:w="0" w:type="dxa"/>
          </w:tblCellMar>
        </w:tblPrEx>
        <w:trPr>
          <w:gridAfter w:val="2"/>
          <w:wAfter w:w="30" w:type="dxa"/>
          <w:trHeight w:val="454" w:hRule="atLeast"/>
        </w:trPr>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2C8C">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支出合计</w:t>
            </w:r>
          </w:p>
        </w:tc>
        <w:tc>
          <w:tcPr>
            <w:tcW w:w="381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E39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71.10 </w:t>
            </w:r>
          </w:p>
        </w:tc>
      </w:tr>
      <w:tr w14:paraId="0711E958">
        <w:tblPrEx>
          <w:tblCellMar>
            <w:top w:w="0" w:type="dxa"/>
            <w:left w:w="0" w:type="dxa"/>
            <w:bottom w:w="0" w:type="dxa"/>
            <w:right w:w="0" w:type="dxa"/>
          </w:tblCellMar>
        </w:tblPrEx>
        <w:trPr>
          <w:gridAfter w:val="7"/>
          <w:wAfter w:w="150" w:type="dxa"/>
          <w:trHeight w:val="570" w:hRule="atLeast"/>
        </w:trPr>
        <w:tc>
          <w:tcPr>
            <w:tcW w:w="8820" w:type="dxa"/>
            <w:gridSpan w:val="10"/>
            <w:tcBorders>
              <w:top w:val="nil"/>
              <w:left w:val="nil"/>
              <w:bottom w:val="nil"/>
              <w:right w:val="nil"/>
            </w:tcBorders>
            <w:shd w:val="clear" w:color="auto" w:fill="auto"/>
            <w:tcMar>
              <w:top w:w="15" w:type="dxa"/>
              <w:left w:w="15" w:type="dxa"/>
              <w:right w:w="15" w:type="dxa"/>
            </w:tcMar>
            <w:vAlign w:val="center"/>
          </w:tcPr>
          <w:p w14:paraId="6834A0C8">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2021年市级一般公共预算收入表</w:t>
            </w:r>
          </w:p>
        </w:tc>
      </w:tr>
      <w:tr w14:paraId="457ABB9A">
        <w:tblPrEx>
          <w:tblCellMar>
            <w:top w:w="0" w:type="dxa"/>
            <w:left w:w="0" w:type="dxa"/>
            <w:bottom w:w="0" w:type="dxa"/>
            <w:right w:w="0" w:type="dxa"/>
          </w:tblCellMar>
        </w:tblPrEx>
        <w:trPr>
          <w:gridAfter w:val="7"/>
          <w:wAfter w:w="150" w:type="dxa"/>
          <w:trHeight w:val="405" w:hRule="atLeast"/>
        </w:trPr>
        <w:tc>
          <w:tcPr>
            <w:tcW w:w="5055" w:type="dxa"/>
            <w:gridSpan w:val="2"/>
            <w:tcBorders>
              <w:top w:val="nil"/>
              <w:left w:val="nil"/>
              <w:bottom w:val="nil"/>
              <w:right w:val="nil"/>
            </w:tcBorders>
            <w:shd w:val="clear" w:color="auto" w:fill="auto"/>
            <w:tcMar>
              <w:top w:w="15" w:type="dxa"/>
              <w:left w:w="15" w:type="dxa"/>
              <w:right w:w="15" w:type="dxa"/>
            </w:tcMar>
            <w:vAlign w:val="center"/>
          </w:tcPr>
          <w:p w14:paraId="5EA4FBBE">
            <w:pPr>
              <w:rPr>
                <w:rFonts w:hint="default" w:ascii="Times New Roman" w:hAnsi="Times New Roman" w:eastAsia="黑体" w:cs="Times New Roman"/>
                <w:i w:val="0"/>
                <w:color w:val="000000"/>
                <w:sz w:val="24"/>
                <w:szCs w:val="24"/>
                <w:u w:val="none"/>
              </w:rPr>
            </w:pPr>
          </w:p>
        </w:tc>
        <w:tc>
          <w:tcPr>
            <w:tcW w:w="3765" w:type="dxa"/>
            <w:gridSpan w:val="8"/>
            <w:tcBorders>
              <w:top w:val="nil"/>
              <w:left w:val="nil"/>
              <w:bottom w:val="nil"/>
              <w:right w:val="nil"/>
            </w:tcBorders>
            <w:shd w:val="clear" w:color="auto" w:fill="auto"/>
            <w:tcMar>
              <w:top w:w="15" w:type="dxa"/>
              <w:left w:w="15" w:type="dxa"/>
              <w:right w:w="15" w:type="dxa"/>
            </w:tcMar>
            <w:vAlign w:val="center"/>
          </w:tcPr>
          <w:p w14:paraId="0699112C">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单位：万元</w:t>
            </w:r>
          </w:p>
        </w:tc>
      </w:tr>
      <w:tr w14:paraId="07B06A7C">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C0574">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6263">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全市</w:t>
            </w:r>
          </w:p>
        </w:tc>
      </w:tr>
      <w:tr w14:paraId="76DBF037">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BCB1">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一、税收收入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78E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92334</w:t>
            </w:r>
          </w:p>
        </w:tc>
      </w:tr>
      <w:tr w14:paraId="16CB3651">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54C9">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增值税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C91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50743</w:t>
            </w:r>
          </w:p>
        </w:tc>
      </w:tr>
      <w:tr w14:paraId="40913717">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D69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企业所得税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EA86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2872</w:t>
            </w:r>
          </w:p>
        </w:tc>
      </w:tr>
      <w:tr w14:paraId="27FFE3A9">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26F4">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企业所得税退税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F1AA7">
            <w:pPr>
              <w:jc w:val="center"/>
              <w:rPr>
                <w:rFonts w:hint="default" w:ascii="Times New Roman" w:hAnsi="Times New Roman" w:eastAsia="等线" w:cs="Times New Roman"/>
                <w:i w:val="0"/>
                <w:color w:val="000000"/>
                <w:sz w:val="24"/>
                <w:szCs w:val="24"/>
                <w:u w:val="none"/>
              </w:rPr>
            </w:pPr>
          </w:p>
        </w:tc>
      </w:tr>
      <w:tr w14:paraId="140F6E63">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00F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个人所得税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4B2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216</w:t>
            </w:r>
          </w:p>
        </w:tc>
      </w:tr>
      <w:tr w14:paraId="291E23CF">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AB8F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资源税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407D">
            <w:pPr>
              <w:jc w:val="center"/>
              <w:rPr>
                <w:rFonts w:hint="default" w:ascii="Times New Roman" w:hAnsi="Times New Roman" w:eastAsia="等线" w:cs="Times New Roman"/>
                <w:i w:val="0"/>
                <w:color w:val="000000"/>
                <w:sz w:val="24"/>
                <w:szCs w:val="24"/>
                <w:u w:val="none"/>
              </w:rPr>
            </w:pPr>
          </w:p>
        </w:tc>
      </w:tr>
      <w:tr w14:paraId="25A2F6A7">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E6A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城市维护建设税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6F9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35249</w:t>
            </w:r>
          </w:p>
        </w:tc>
      </w:tr>
      <w:tr w14:paraId="274101ED">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D26CC">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房产税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049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1529</w:t>
            </w:r>
          </w:p>
        </w:tc>
      </w:tr>
      <w:tr w14:paraId="5BD29F0F">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6B30">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印花税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48F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78</w:t>
            </w:r>
          </w:p>
        </w:tc>
      </w:tr>
      <w:tr w14:paraId="73D5B100">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E638C">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城镇土地使用税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C58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1647</w:t>
            </w:r>
          </w:p>
        </w:tc>
      </w:tr>
      <w:tr w14:paraId="066B8436">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B92C9">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土地增值税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F879">
            <w:pPr>
              <w:jc w:val="center"/>
              <w:rPr>
                <w:rFonts w:hint="default" w:ascii="Times New Roman" w:hAnsi="Times New Roman" w:eastAsia="等线" w:cs="Times New Roman"/>
                <w:i w:val="0"/>
                <w:color w:val="000000"/>
                <w:sz w:val="24"/>
                <w:szCs w:val="24"/>
                <w:u w:val="none"/>
              </w:rPr>
            </w:pPr>
          </w:p>
        </w:tc>
      </w:tr>
      <w:tr w14:paraId="656BF8CA">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181E1">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车船税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819E">
            <w:pPr>
              <w:jc w:val="center"/>
              <w:rPr>
                <w:rFonts w:hint="default" w:ascii="Times New Roman" w:hAnsi="Times New Roman" w:eastAsia="等线" w:cs="Times New Roman"/>
                <w:i w:val="0"/>
                <w:color w:val="000000"/>
                <w:sz w:val="24"/>
                <w:szCs w:val="24"/>
                <w:u w:val="none"/>
              </w:rPr>
            </w:pPr>
          </w:p>
        </w:tc>
      </w:tr>
      <w:tr w14:paraId="4CCAE7EB">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AF8A">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耕地占用税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1DA5">
            <w:pPr>
              <w:jc w:val="center"/>
              <w:rPr>
                <w:rFonts w:hint="default" w:ascii="Times New Roman" w:hAnsi="Times New Roman" w:eastAsia="等线" w:cs="Times New Roman"/>
                <w:i w:val="0"/>
                <w:color w:val="000000"/>
                <w:sz w:val="24"/>
                <w:szCs w:val="24"/>
                <w:u w:val="none"/>
              </w:rPr>
            </w:pPr>
          </w:p>
        </w:tc>
      </w:tr>
      <w:tr w14:paraId="40DDBFEF">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38AD">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契税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0E005">
            <w:pPr>
              <w:jc w:val="center"/>
              <w:rPr>
                <w:rFonts w:hint="default" w:ascii="Times New Roman" w:hAnsi="Times New Roman" w:eastAsia="等线" w:cs="Times New Roman"/>
                <w:i w:val="0"/>
                <w:color w:val="000000"/>
                <w:sz w:val="24"/>
                <w:szCs w:val="24"/>
                <w:u w:val="none"/>
              </w:rPr>
            </w:pPr>
          </w:p>
        </w:tc>
      </w:tr>
      <w:tr w14:paraId="13A51B3B">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1660">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烟叶税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6DD0">
            <w:pPr>
              <w:jc w:val="center"/>
              <w:rPr>
                <w:rFonts w:hint="default" w:ascii="Times New Roman" w:hAnsi="Times New Roman" w:eastAsia="等线" w:cs="Times New Roman"/>
                <w:i w:val="0"/>
                <w:color w:val="000000"/>
                <w:sz w:val="24"/>
                <w:szCs w:val="24"/>
                <w:u w:val="none"/>
              </w:rPr>
            </w:pPr>
          </w:p>
        </w:tc>
      </w:tr>
      <w:tr w14:paraId="7A594FAE">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4C55B">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环境保护税</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AEDA">
            <w:pPr>
              <w:jc w:val="center"/>
              <w:rPr>
                <w:rFonts w:hint="default" w:ascii="Times New Roman" w:hAnsi="Times New Roman" w:eastAsia="等线" w:cs="Times New Roman"/>
                <w:i w:val="0"/>
                <w:color w:val="000000"/>
                <w:sz w:val="24"/>
                <w:szCs w:val="24"/>
                <w:u w:val="none"/>
              </w:rPr>
            </w:pPr>
          </w:p>
        </w:tc>
      </w:tr>
      <w:tr w14:paraId="7D41D6C6">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53AA3">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其他税收收入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D522">
            <w:pPr>
              <w:jc w:val="center"/>
              <w:rPr>
                <w:rFonts w:hint="default" w:ascii="Times New Roman" w:hAnsi="Times New Roman" w:eastAsia="等线" w:cs="Times New Roman"/>
                <w:i w:val="0"/>
                <w:color w:val="000000"/>
                <w:sz w:val="24"/>
                <w:szCs w:val="24"/>
                <w:u w:val="none"/>
              </w:rPr>
            </w:pPr>
          </w:p>
        </w:tc>
      </w:tr>
      <w:tr w14:paraId="0AB0AA7F">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E2F8">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二、非税收入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39CB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109142</w:t>
            </w:r>
          </w:p>
        </w:tc>
      </w:tr>
      <w:tr w14:paraId="54FF6F87">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7340">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专项收入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8BC9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86209</w:t>
            </w:r>
          </w:p>
        </w:tc>
      </w:tr>
      <w:tr w14:paraId="7C2C8BB9">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48387">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行政事业性收费收入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B5F7D">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8873</w:t>
            </w:r>
          </w:p>
        </w:tc>
      </w:tr>
      <w:tr w14:paraId="770CFCB0">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6382">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罚没收入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3089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2061</w:t>
            </w:r>
          </w:p>
        </w:tc>
      </w:tr>
      <w:tr w14:paraId="18C6538F">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2085">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国有资本经营收入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C2DF">
            <w:pPr>
              <w:jc w:val="center"/>
              <w:rPr>
                <w:rFonts w:hint="default" w:ascii="Times New Roman" w:hAnsi="Times New Roman" w:eastAsia="等线" w:cs="Times New Roman"/>
                <w:i w:val="0"/>
                <w:color w:val="000000"/>
                <w:sz w:val="24"/>
                <w:szCs w:val="24"/>
                <w:u w:val="none"/>
              </w:rPr>
            </w:pPr>
          </w:p>
        </w:tc>
      </w:tr>
      <w:tr w14:paraId="1E3A912C">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4E9C">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国有资源（资产）有偿使用收入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4332">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2699</w:t>
            </w:r>
          </w:p>
        </w:tc>
      </w:tr>
      <w:tr w14:paraId="2A53B18D">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8AE7">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捐赠收入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E383">
            <w:pPr>
              <w:jc w:val="center"/>
              <w:rPr>
                <w:rFonts w:hint="default" w:ascii="Times New Roman" w:hAnsi="Times New Roman" w:eastAsia="等线" w:cs="Times New Roman"/>
                <w:i w:val="0"/>
                <w:color w:val="000000"/>
                <w:sz w:val="24"/>
                <w:szCs w:val="24"/>
                <w:u w:val="none"/>
              </w:rPr>
            </w:pPr>
          </w:p>
        </w:tc>
      </w:tr>
      <w:tr w14:paraId="7C36FD29">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D1CE">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政府住房基金收入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069C">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9000</w:t>
            </w:r>
          </w:p>
        </w:tc>
      </w:tr>
      <w:tr w14:paraId="585FC5C3">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2CE66">
            <w:pPr>
              <w:keepNext w:val="0"/>
              <w:keepLines w:val="0"/>
              <w:pageBreakBefore w:val="0"/>
              <w:widowControl/>
              <w:suppressLineNumbers w:val="0"/>
              <w:kinsoku/>
              <w:wordWrap/>
              <w:overflowPunct/>
              <w:topLinePunct w:val="0"/>
              <w:autoSpaceDE/>
              <w:autoSpaceDN/>
              <w:bidi w:val="0"/>
              <w:adjustRightInd/>
              <w:snapToGrid/>
              <w:ind w:left="42" w:leftChars="20"/>
              <w:jc w:val="both"/>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其他收入</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73B51">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300</w:t>
            </w:r>
          </w:p>
        </w:tc>
      </w:tr>
      <w:tr w14:paraId="56977359">
        <w:tblPrEx>
          <w:tblCellMar>
            <w:top w:w="0" w:type="dxa"/>
            <w:left w:w="0" w:type="dxa"/>
            <w:bottom w:w="0" w:type="dxa"/>
            <w:right w:w="0" w:type="dxa"/>
          </w:tblCellMar>
        </w:tblPrEx>
        <w:trPr>
          <w:gridAfter w:val="7"/>
          <w:wAfter w:w="150" w:type="dxa"/>
          <w:trHeight w:val="380" w:hRule="atLeast"/>
        </w:trPr>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90C2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收入合计</w:t>
            </w:r>
          </w:p>
        </w:tc>
        <w:tc>
          <w:tcPr>
            <w:tcW w:w="37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6204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201476</w:t>
            </w:r>
          </w:p>
        </w:tc>
      </w:tr>
      <w:tr w14:paraId="0378B9F1">
        <w:tblPrEx>
          <w:tblCellMar>
            <w:top w:w="0" w:type="dxa"/>
            <w:left w:w="0" w:type="dxa"/>
            <w:bottom w:w="0" w:type="dxa"/>
            <w:right w:w="0" w:type="dxa"/>
          </w:tblCellMar>
        </w:tblPrEx>
        <w:trPr>
          <w:gridAfter w:val="3"/>
          <w:wAfter w:w="45" w:type="dxa"/>
          <w:trHeight w:val="570" w:hRule="atLeast"/>
        </w:trPr>
        <w:tc>
          <w:tcPr>
            <w:tcW w:w="8925" w:type="dxa"/>
            <w:gridSpan w:val="14"/>
            <w:tcBorders>
              <w:top w:val="nil"/>
              <w:left w:val="nil"/>
              <w:bottom w:val="nil"/>
              <w:right w:val="nil"/>
            </w:tcBorders>
            <w:shd w:val="clear" w:color="auto" w:fill="auto"/>
            <w:tcMar>
              <w:top w:w="15" w:type="dxa"/>
              <w:left w:w="15" w:type="dxa"/>
              <w:right w:w="15" w:type="dxa"/>
            </w:tcMar>
            <w:vAlign w:val="center"/>
          </w:tcPr>
          <w:p w14:paraId="065B2CC2">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2021年市级一般公共预算支出表</w:t>
            </w:r>
          </w:p>
        </w:tc>
      </w:tr>
      <w:tr w14:paraId="50EA84AB">
        <w:tblPrEx>
          <w:tblCellMar>
            <w:top w:w="0" w:type="dxa"/>
            <w:left w:w="0" w:type="dxa"/>
            <w:bottom w:w="0" w:type="dxa"/>
            <w:right w:w="0" w:type="dxa"/>
          </w:tblCellMar>
        </w:tblPrEx>
        <w:trPr>
          <w:gridAfter w:val="3"/>
          <w:wAfter w:w="45" w:type="dxa"/>
          <w:trHeight w:val="375" w:hRule="atLeast"/>
        </w:trPr>
        <w:tc>
          <w:tcPr>
            <w:tcW w:w="5565" w:type="dxa"/>
            <w:gridSpan w:val="7"/>
            <w:tcBorders>
              <w:top w:val="nil"/>
              <w:left w:val="nil"/>
              <w:bottom w:val="nil"/>
              <w:right w:val="nil"/>
            </w:tcBorders>
            <w:shd w:val="clear" w:color="auto" w:fill="auto"/>
            <w:tcMar>
              <w:top w:w="15" w:type="dxa"/>
              <w:left w:w="15" w:type="dxa"/>
              <w:right w:w="15" w:type="dxa"/>
            </w:tcMar>
            <w:vAlign w:val="center"/>
          </w:tcPr>
          <w:p w14:paraId="05E0202E">
            <w:pPr>
              <w:rPr>
                <w:rFonts w:hint="default" w:ascii="Times New Roman" w:hAnsi="Times New Roman" w:eastAsia="黑体" w:cs="Times New Roman"/>
                <w:i w:val="0"/>
                <w:color w:val="000000"/>
                <w:sz w:val="24"/>
                <w:szCs w:val="24"/>
                <w:u w:val="none"/>
              </w:rPr>
            </w:pPr>
          </w:p>
        </w:tc>
        <w:tc>
          <w:tcPr>
            <w:tcW w:w="3360" w:type="dxa"/>
            <w:gridSpan w:val="7"/>
            <w:tcBorders>
              <w:top w:val="nil"/>
              <w:left w:val="nil"/>
              <w:bottom w:val="nil"/>
              <w:right w:val="nil"/>
            </w:tcBorders>
            <w:shd w:val="clear" w:color="auto" w:fill="auto"/>
            <w:tcMar>
              <w:top w:w="15" w:type="dxa"/>
              <w:left w:w="15" w:type="dxa"/>
              <w:right w:w="15" w:type="dxa"/>
            </w:tcMar>
            <w:vAlign w:val="center"/>
          </w:tcPr>
          <w:p w14:paraId="03C66582">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单位：万元</w:t>
            </w:r>
          </w:p>
        </w:tc>
      </w:tr>
      <w:tr w14:paraId="0A67C996">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8B5D">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E9B2">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预算数</w:t>
            </w:r>
          </w:p>
        </w:tc>
      </w:tr>
      <w:tr w14:paraId="4C2C1880">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8DB7">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一、一般公共服务</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36C8">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43407</w:t>
            </w:r>
          </w:p>
        </w:tc>
      </w:tr>
      <w:tr w14:paraId="294C9E9D">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4E9C">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二、外交支出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CE398">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p>
        </w:tc>
      </w:tr>
      <w:tr w14:paraId="62785E48">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6200">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三、国防支出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0E6D">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1480</w:t>
            </w:r>
          </w:p>
        </w:tc>
      </w:tr>
      <w:tr w14:paraId="3D80247B">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82D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四、公共安全支出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489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16288</w:t>
            </w:r>
          </w:p>
        </w:tc>
      </w:tr>
      <w:tr w14:paraId="75E76EE3">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57765">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五、教育支出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128D">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63040</w:t>
            </w:r>
          </w:p>
        </w:tc>
      </w:tr>
      <w:tr w14:paraId="04CB0B1F">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6B2C6">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六、科学技术支出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023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4026</w:t>
            </w:r>
          </w:p>
        </w:tc>
      </w:tr>
      <w:tr w14:paraId="190F4452">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4D6B">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七、文化旅游体育与传媒支出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228F2">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30525</w:t>
            </w:r>
          </w:p>
        </w:tc>
      </w:tr>
      <w:tr w14:paraId="5E558283">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04A5">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八、社会保障和就业支出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B536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47126</w:t>
            </w:r>
          </w:p>
        </w:tc>
      </w:tr>
      <w:tr w14:paraId="7CB935BC">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77C5">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九、卫生健康支出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DD2B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190160</w:t>
            </w:r>
          </w:p>
        </w:tc>
      </w:tr>
      <w:tr w14:paraId="72008488">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D45306">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十、节能环保支出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7521">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4938</w:t>
            </w:r>
          </w:p>
        </w:tc>
      </w:tr>
      <w:tr w14:paraId="3AF73661">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99F9BE">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十一、城乡社区支出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4D0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5746</w:t>
            </w:r>
          </w:p>
        </w:tc>
      </w:tr>
      <w:tr w14:paraId="72F9E368">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1F3417">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十二、农林水支出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6EF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14819</w:t>
            </w:r>
          </w:p>
        </w:tc>
      </w:tr>
      <w:tr w14:paraId="29526A7D">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455D9E">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十三、交通运输支出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8F6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8930</w:t>
            </w:r>
          </w:p>
        </w:tc>
      </w:tr>
      <w:tr w14:paraId="17E27433">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0E6A1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十四、资源勘探工业信息等支出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A44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8981</w:t>
            </w:r>
          </w:p>
        </w:tc>
      </w:tr>
      <w:tr w14:paraId="15FD4C44">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029737">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十五、商业服务业等支出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7D9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2918</w:t>
            </w:r>
          </w:p>
        </w:tc>
      </w:tr>
      <w:tr w14:paraId="659653E8">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6BAB79">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十六、金融支出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2A1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p>
        </w:tc>
      </w:tr>
      <w:tr w14:paraId="26D6F1ED">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3705E6">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十七、援助其他地区支出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3875">
            <w:pPr>
              <w:jc w:val="center"/>
              <w:rPr>
                <w:rFonts w:hint="default" w:ascii="Times New Roman" w:hAnsi="Times New Roman" w:eastAsia="等线" w:cs="Times New Roman"/>
                <w:i w:val="0"/>
                <w:color w:val="000000"/>
                <w:sz w:val="24"/>
                <w:szCs w:val="24"/>
                <w:u w:val="none"/>
              </w:rPr>
            </w:pPr>
          </w:p>
        </w:tc>
      </w:tr>
      <w:tr w14:paraId="63300EFE">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DFD398">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十八、自然资源海洋气象等支出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45F1">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8651</w:t>
            </w:r>
          </w:p>
        </w:tc>
      </w:tr>
      <w:tr w14:paraId="2E179E54">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797EBD">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十九、住房保障支出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455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28127</w:t>
            </w:r>
          </w:p>
        </w:tc>
      </w:tr>
      <w:tr w14:paraId="663A5B8C">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1BEAE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二十、粮油物资储备支出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48D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2285</w:t>
            </w:r>
          </w:p>
        </w:tc>
      </w:tr>
      <w:tr w14:paraId="76E5FA7A">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B7B1CD">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二十一、灾害防治及应急管理支出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135D">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4811</w:t>
            </w:r>
          </w:p>
        </w:tc>
      </w:tr>
      <w:tr w14:paraId="563E3830">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ADF43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二十二、预备费</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1FC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7500</w:t>
            </w:r>
          </w:p>
        </w:tc>
      </w:tr>
      <w:tr w14:paraId="345B2ECC">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7925C1">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二十三、债务付息支出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688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5931</w:t>
            </w:r>
          </w:p>
        </w:tc>
      </w:tr>
      <w:tr w14:paraId="165218AC">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65DF9">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二十四、债务发行费用支出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1FD68">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p>
        </w:tc>
      </w:tr>
      <w:tr w14:paraId="27ED1F48">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28B4B">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二十五、其他支出</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CA2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39346</w:t>
            </w:r>
          </w:p>
        </w:tc>
      </w:tr>
      <w:tr w14:paraId="24FB235F">
        <w:tblPrEx>
          <w:tblCellMar>
            <w:top w:w="0" w:type="dxa"/>
            <w:left w:w="0" w:type="dxa"/>
            <w:bottom w:w="0" w:type="dxa"/>
            <w:right w:w="0" w:type="dxa"/>
          </w:tblCellMar>
        </w:tblPrEx>
        <w:trPr>
          <w:gridAfter w:val="3"/>
          <w:wAfter w:w="45" w:type="dxa"/>
          <w:trHeight w:val="374" w:hRule="atLeast"/>
        </w:trPr>
        <w:tc>
          <w:tcPr>
            <w:tcW w:w="5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66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支出合计</w:t>
            </w:r>
          </w:p>
        </w:tc>
        <w:tc>
          <w:tcPr>
            <w:tcW w:w="33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FED8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539035</w:t>
            </w:r>
          </w:p>
        </w:tc>
      </w:tr>
      <w:tr w14:paraId="40E5E526">
        <w:tblPrEx>
          <w:tblCellMar>
            <w:top w:w="0" w:type="dxa"/>
            <w:left w:w="0" w:type="dxa"/>
            <w:bottom w:w="0" w:type="dxa"/>
            <w:right w:w="0" w:type="dxa"/>
          </w:tblCellMar>
        </w:tblPrEx>
        <w:trPr>
          <w:gridAfter w:val="3"/>
          <w:wAfter w:w="45" w:type="dxa"/>
          <w:trHeight w:val="480" w:hRule="atLeast"/>
        </w:trPr>
        <w:tc>
          <w:tcPr>
            <w:tcW w:w="8925" w:type="dxa"/>
            <w:gridSpan w:val="14"/>
            <w:tcBorders>
              <w:top w:val="single" w:color="000000" w:sz="4" w:space="0"/>
              <w:left w:val="nil"/>
              <w:bottom w:val="nil"/>
              <w:right w:val="nil"/>
            </w:tcBorders>
            <w:shd w:val="clear" w:color="auto" w:fill="auto"/>
            <w:tcMar>
              <w:top w:w="15" w:type="dxa"/>
              <w:left w:w="15" w:type="dxa"/>
              <w:right w:w="15" w:type="dxa"/>
            </w:tcMar>
            <w:vAlign w:val="center"/>
          </w:tcPr>
          <w:p w14:paraId="625D46B9">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备注：</w:t>
            </w:r>
            <w:r>
              <w:rPr>
                <w:rFonts w:hint="default" w:ascii="Times New Roman" w:hAnsi="Times New Roman" w:cs="Times New Roman" w:eastAsiaTheme="majorEastAsia"/>
                <w:i w:val="0"/>
                <w:color w:val="000000"/>
                <w:kern w:val="0"/>
                <w:sz w:val="24"/>
                <w:szCs w:val="24"/>
                <w:u w:val="none"/>
                <w:lang w:val="en-US" w:eastAsia="zh-CN" w:bidi="ar"/>
              </w:rPr>
              <w:t>支出明细表按照《预算法》规定提交人大有关专门委员会审查。</w:t>
            </w:r>
          </w:p>
        </w:tc>
      </w:tr>
      <w:tr w14:paraId="22D8780A">
        <w:tblPrEx>
          <w:tblCellMar>
            <w:top w:w="0" w:type="dxa"/>
            <w:left w:w="0" w:type="dxa"/>
            <w:bottom w:w="0" w:type="dxa"/>
            <w:right w:w="0" w:type="dxa"/>
          </w:tblCellMar>
        </w:tblPrEx>
        <w:trPr>
          <w:gridAfter w:val="4"/>
          <w:wAfter w:w="75" w:type="dxa"/>
          <w:trHeight w:val="570" w:hRule="atLeast"/>
        </w:trPr>
        <w:tc>
          <w:tcPr>
            <w:tcW w:w="8895" w:type="dxa"/>
            <w:gridSpan w:val="13"/>
            <w:tcBorders>
              <w:top w:val="nil"/>
              <w:left w:val="nil"/>
              <w:bottom w:val="nil"/>
              <w:right w:val="nil"/>
            </w:tcBorders>
            <w:shd w:val="clear" w:color="auto" w:fill="auto"/>
            <w:tcMar>
              <w:top w:w="15" w:type="dxa"/>
              <w:left w:w="15" w:type="dxa"/>
              <w:right w:w="15" w:type="dxa"/>
            </w:tcMar>
            <w:vAlign w:val="center"/>
          </w:tcPr>
          <w:p w14:paraId="09408E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2021年市级政府性基金预算收入表</w:t>
            </w:r>
          </w:p>
        </w:tc>
      </w:tr>
      <w:tr w14:paraId="3ADA6EAC">
        <w:tblPrEx>
          <w:tblCellMar>
            <w:top w:w="0" w:type="dxa"/>
            <w:left w:w="0" w:type="dxa"/>
            <w:bottom w:w="0" w:type="dxa"/>
            <w:right w:w="0" w:type="dxa"/>
          </w:tblCellMar>
        </w:tblPrEx>
        <w:trPr>
          <w:gridAfter w:val="4"/>
          <w:wAfter w:w="75" w:type="dxa"/>
          <w:trHeight w:val="349" w:hRule="atLeast"/>
        </w:trPr>
        <w:tc>
          <w:tcPr>
            <w:tcW w:w="6120" w:type="dxa"/>
            <w:gridSpan w:val="8"/>
            <w:tcBorders>
              <w:top w:val="nil"/>
              <w:left w:val="nil"/>
              <w:bottom w:val="nil"/>
              <w:right w:val="nil"/>
            </w:tcBorders>
            <w:shd w:val="clear" w:color="auto" w:fill="auto"/>
            <w:tcMar>
              <w:top w:w="15" w:type="dxa"/>
              <w:left w:w="15" w:type="dxa"/>
              <w:right w:w="15" w:type="dxa"/>
            </w:tcMar>
            <w:vAlign w:val="center"/>
          </w:tcPr>
          <w:p w14:paraId="5F325163">
            <w:pPr>
              <w:rPr>
                <w:rFonts w:hint="default" w:ascii="Times New Roman" w:hAnsi="Times New Roman" w:eastAsia="黑体" w:cs="Times New Roman"/>
                <w:i w:val="0"/>
                <w:color w:val="000000"/>
                <w:sz w:val="22"/>
                <w:szCs w:val="22"/>
                <w:u w:val="none"/>
              </w:rPr>
            </w:pPr>
          </w:p>
        </w:tc>
        <w:tc>
          <w:tcPr>
            <w:tcW w:w="2775" w:type="dxa"/>
            <w:gridSpan w:val="5"/>
            <w:tcBorders>
              <w:top w:val="nil"/>
              <w:left w:val="nil"/>
              <w:bottom w:val="nil"/>
              <w:right w:val="nil"/>
            </w:tcBorders>
            <w:shd w:val="clear" w:color="auto" w:fill="auto"/>
            <w:tcMar>
              <w:top w:w="15" w:type="dxa"/>
              <w:left w:w="15" w:type="dxa"/>
              <w:right w:w="15" w:type="dxa"/>
            </w:tcMar>
            <w:vAlign w:val="center"/>
          </w:tcPr>
          <w:p w14:paraId="539CAFC7">
            <w:pPr>
              <w:keepNext w:val="0"/>
              <w:keepLines w:val="0"/>
              <w:widowControl/>
              <w:suppressLineNumbers w:val="0"/>
              <w:jc w:val="right"/>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楷体_GB2312" w:cs="Times New Roman"/>
                <w:b w:val="0"/>
                <w:i w:val="0"/>
                <w:color w:val="000000"/>
                <w:kern w:val="0"/>
                <w:sz w:val="24"/>
                <w:szCs w:val="22"/>
                <w:u w:val="none"/>
                <w:lang w:val="en-US" w:eastAsia="zh-CN" w:bidi="ar"/>
              </w:rPr>
              <w:t>单位：万元</w:t>
            </w:r>
          </w:p>
        </w:tc>
      </w:tr>
      <w:tr w14:paraId="29FBFBEC">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1B4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项目</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7D39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预算数</w:t>
            </w:r>
          </w:p>
        </w:tc>
      </w:tr>
      <w:tr w14:paraId="75DBC33A">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B259F">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一、农网还贷资金收入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F4A2">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635AC56A">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FCF54">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二、海南省高等级公路车辆通行附加费收入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A2F0">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66B34505">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D29C">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三、港口建设费收入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D4073">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79B49DBC">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3DBE6">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四、国家电影事业发展专项资金收入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B321">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34751011">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560A">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五、国有土地收益基金收入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C834">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7693E493">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3A4D">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六、农业土地开发资金收入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7ECA">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51244531">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A535">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七、国有土地使用权出让收入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9D8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1258636</w:t>
            </w:r>
          </w:p>
        </w:tc>
      </w:tr>
      <w:tr w14:paraId="1F2703E2">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B2F0">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八、大中型水库库区基金收入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26FAC">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438B5742">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5F27">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九、彩票公益金收入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1B6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1368</w:t>
            </w:r>
          </w:p>
        </w:tc>
      </w:tr>
      <w:tr w14:paraId="08BA5A32">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76038">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十、城市基础设施配套费收入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E72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17850</w:t>
            </w:r>
          </w:p>
        </w:tc>
      </w:tr>
      <w:tr w14:paraId="437FAECA">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212C">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十一、小型水库移民扶助基金收入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FB674">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0A488D60">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555B">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十二、国家重大水利工程建设基金收入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E33E">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3EC21849">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2EC6">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十三、车辆通行费</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D634">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01CEE6EA">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96653">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十四、污水处理费收入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CD7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2820</w:t>
            </w:r>
          </w:p>
        </w:tc>
      </w:tr>
      <w:tr w14:paraId="37650BAA">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BEA1">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十五、彩票发行机构和彩票销售机构的业务费用</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4028">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01260104">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5FC1">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十六、其他政府性基金收入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E4EA5">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17CD556D">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AB5D">
            <w:pPr>
              <w:keepNext w:val="0"/>
              <w:keepLines w:val="0"/>
              <w:pageBreakBefore w:val="0"/>
              <w:widowControl/>
              <w:suppressLineNumbers w:val="0"/>
              <w:kinsoku/>
              <w:wordWrap/>
              <w:overflowPunct/>
              <w:topLinePunct w:val="0"/>
              <w:autoSpaceDE/>
              <w:autoSpaceDN/>
              <w:bidi w:val="0"/>
              <w:adjustRightInd/>
              <w:snapToGrid/>
              <w:spacing w:line="250" w:lineRule="exact"/>
              <w:ind w:left="42" w:leftChars="20"/>
              <w:jc w:val="both"/>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十七、专项债券对应项目专项收入</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EEC5">
            <w:pPr>
              <w:keepNext w:val="0"/>
              <w:keepLines w:val="0"/>
              <w:pageBreakBefore w:val="0"/>
              <w:widowControl/>
              <w:kinsoku/>
              <w:wordWrap/>
              <w:overflowPunct/>
              <w:topLinePunct w:val="0"/>
              <w:autoSpaceDE/>
              <w:autoSpaceDN/>
              <w:bidi w:val="0"/>
              <w:adjustRightInd/>
              <w:snapToGrid/>
              <w:spacing w:line="250" w:lineRule="exact"/>
              <w:jc w:val="center"/>
              <w:rPr>
                <w:rFonts w:hint="default" w:ascii="Times New Roman" w:hAnsi="Times New Roman" w:eastAsia="等线" w:cs="Times New Roman"/>
                <w:i w:val="0"/>
                <w:color w:val="000000"/>
                <w:sz w:val="22"/>
                <w:szCs w:val="22"/>
                <w:u w:val="none"/>
              </w:rPr>
            </w:pPr>
          </w:p>
        </w:tc>
      </w:tr>
      <w:tr w14:paraId="0FF7303D">
        <w:tblPrEx>
          <w:tblCellMar>
            <w:top w:w="0" w:type="dxa"/>
            <w:left w:w="0" w:type="dxa"/>
            <w:bottom w:w="0" w:type="dxa"/>
            <w:right w:w="0" w:type="dxa"/>
          </w:tblCellMar>
        </w:tblPrEx>
        <w:trPr>
          <w:gridAfter w:val="4"/>
          <w:wAfter w:w="75" w:type="dxa"/>
          <w:trHeight w:val="28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EAD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收入合计</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932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1280674</w:t>
            </w:r>
          </w:p>
        </w:tc>
      </w:tr>
      <w:tr w14:paraId="4F2A578C">
        <w:tblPrEx>
          <w:tblCellMar>
            <w:top w:w="0" w:type="dxa"/>
            <w:left w:w="0" w:type="dxa"/>
            <w:bottom w:w="0" w:type="dxa"/>
            <w:right w:w="0" w:type="dxa"/>
          </w:tblCellMar>
        </w:tblPrEx>
        <w:trPr>
          <w:gridAfter w:val="4"/>
          <w:wAfter w:w="75" w:type="dxa"/>
          <w:trHeight w:val="555" w:hRule="atLeast"/>
        </w:trPr>
        <w:tc>
          <w:tcPr>
            <w:tcW w:w="8895" w:type="dxa"/>
            <w:gridSpan w:val="13"/>
            <w:tcBorders>
              <w:top w:val="nil"/>
              <w:left w:val="nil"/>
              <w:bottom w:val="nil"/>
              <w:right w:val="nil"/>
            </w:tcBorders>
            <w:shd w:val="clear" w:color="auto" w:fill="auto"/>
            <w:tcMar>
              <w:top w:w="15" w:type="dxa"/>
              <w:left w:w="15" w:type="dxa"/>
              <w:right w:w="15" w:type="dxa"/>
            </w:tcMar>
            <w:vAlign w:val="center"/>
          </w:tcPr>
          <w:p w14:paraId="0DD42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color w:val="000000"/>
                <w:kern w:val="0"/>
                <w:sz w:val="44"/>
                <w:szCs w:val="44"/>
                <w:u w:val="none"/>
                <w:lang w:val="en-US" w:eastAsia="zh-CN" w:bidi="ar"/>
              </w:rPr>
            </w:pPr>
          </w:p>
          <w:p w14:paraId="1AFBA95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2021年市级政府性基金预算支出表</w:t>
            </w:r>
          </w:p>
        </w:tc>
      </w:tr>
      <w:tr w14:paraId="0E07C49C">
        <w:tblPrEx>
          <w:tblCellMar>
            <w:top w:w="0" w:type="dxa"/>
            <w:left w:w="0" w:type="dxa"/>
            <w:bottom w:w="0" w:type="dxa"/>
            <w:right w:w="0" w:type="dxa"/>
          </w:tblCellMar>
        </w:tblPrEx>
        <w:trPr>
          <w:gridAfter w:val="4"/>
          <w:wAfter w:w="75" w:type="dxa"/>
          <w:trHeight w:val="349" w:hRule="atLeast"/>
        </w:trPr>
        <w:tc>
          <w:tcPr>
            <w:tcW w:w="6120" w:type="dxa"/>
            <w:gridSpan w:val="8"/>
            <w:tcBorders>
              <w:top w:val="nil"/>
              <w:left w:val="nil"/>
              <w:bottom w:val="nil"/>
              <w:right w:val="nil"/>
            </w:tcBorders>
            <w:shd w:val="clear" w:color="auto" w:fill="auto"/>
            <w:tcMar>
              <w:top w:w="15" w:type="dxa"/>
              <w:left w:w="15" w:type="dxa"/>
              <w:right w:w="15" w:type="dxa"/>
            </w:tcMar>
            <w:vAlign w:val="center"/>
          </w:tcPr>
          <w:p w14:paraId="64659592">
            <w:pPr>
              <w:rPr>
                <w:rFonts w:hint="default" w:ascii="Times New Roman" w:hAnsi="Times New Roman" w:eastAsia="黑体" w:cs="Times New Roman"/>
                <w:i w:val="0"/>
                <w:color w:val="000000"/>
                <w:sz w:val="22"/>
                <w:szCs w:val="22"/>
                <w:u w:val="none"/>
              </w:rPr>
            </w:pPr>
          </w:p>
        </w:tc>
        <w:tc>
          <w:tcPr>
            <w:tcW w:w="2775" w:type="dxa"/>
            <w:gridSpan w:val="5"/>
            <w:tcBorders>
              <w:top w:val="nil"/>
              <w:left w:val="nil"/>
              <w:bottom w:val="nil"/>
              <w:right w:val="nil"/>
            </w:tcBorders>
            <w:shd w:val="clear" w:color="auto" w:fill="auto"/>
            <w:tcMar>
              <w:top w:w="15" w:type="dxa"/>
              <w:left w:w="15" w:type="dxa"/>
              <w:right w:w="15" w:type="dxa"/>
            </w:tcMar>
            <w:vAlign w:val="center"/>
          </w:tcPr>
          <w:p w14:paraId="06E964DA">
            <w:pPr>
              <w:keepNext w:val="0"/>
              <w:keepLines w:val="0"/>
              <w:widowControl/>
              <w:suppressLineNumbers w:val="0"/>
              <w:jc w:val="right"/>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楷体_GB2312" w:cs="Times New Roman"/>
                <w:b w:val="0"/>
                <w:i w:val="0"/>
                <w:color w:val="000000"/>
                <w:kern w:val="0"/>
                <w:sz w:val="24"/>
                <w:szCs w:val="22"/>
                <w:u w:val="none"/>
                <w:lang w:val="en-US" w:eastAsia="zh-CN" w:bidi="ar"/>
              </w:rPr>
              <w:t>单位：万元</w:t>
            </w:r>
          </w:p>
        </w:tc>
      </w:tr>
      <w:tr w14:paraId="6B919D46">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EA08">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Style w:val="23"/>
                <w:rFonts w:hint="default" w:ascii="Times New Roman" w:hAnsi="Times New Roman" w:cs="Times New Roman"/>
                <w:lang w:val="en-US" w:eastAsia="zh-CN" w:bidi="ar"/>
              </w:rPr>
              <w:t>项目</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22B5">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Style w:val="23"/>
                <w:rFonts w:hint="default" w:ascii="Times New Roman" w:hAnsi="Times New Roman" w:cs="Times New Roman"/>
                <w:lang w:val="en-US" w:eastAsia="zh-CN" w:bidi="ar"/>
              </w:rPr>
              <w:t>预算数</w:t>
            </w:r>
          </w:p>
        </w:tc>
      </w:tr>
      <w:tr w14:paraId="4210A17F">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711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一、文化旅游体育与传媒支出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A789">
            <w:pPr>
              <w:jc w:val="center"/>
              <w:rPr>
                <w:rFonts w:hint="default" w:ascii="Times New Roman" w:hAnsi="Times New Roman" w:eastAsia="等线" w:cs="Times New Roman"/>
                <w:i w:val="0"/>
                <w:color w:val="000000"/>
                <w:sz w:val="22"/>
                <w:szCs w:val="22"/>
                <w:u w:val="none"/>
              </w:rPr>
            </w:pPr>
          </w:p>
        </w:tc>
      </w:tr>
      <w:tr w14:paraId="6CEBD63B">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2DE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二、社会保障和就业支出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B6E6">
            <w:pPr>
              <w:jc w:val="center"/>
              <w:rPr>
                <w:rFonts w:hint="default" w:ascii="Times New Roman" w:hAnsi="Times New Roman" w:eastAsia="等线" w:cs="Times New Roman"/>
                <w:i w:val="0"/>
                <w:color w:val="000000"/>
                <w:sz w:val="22"/>
                <w:szCs w:val="22"/>
                <w:u w:val="none"/>
              </w:rPr>
            </w:pPr>
          </w:p>
        </w:tc>
      </w:tr>
      <w:tr w14:paraId="3AC6E6A0">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2D29">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三、节能环保支出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422F">
            <w:pPr>
              <w:jc w:val="center"/>
              <w:rPr>
                <w:rFonts w:hint="default" w:ascii="Times New Roman" w:hAnsi="Times New Roman" w:eastAsia="等线" w:cs="Times New Roman"/>
                <w:i w:val="0"/>
                <w:color w:val="000000"/>
                <w:sz w:val="22"/>
                <w:szCs w:val="22"/>
                <w:u w:val="none"/>
              </w:rPr>
            </w:pPr>
          </w:p>
        </w:tc>
      </w:tr>
      <w:tr w14:paraId="137EC013">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E4CD9">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四、城乡社区支出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CD53">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1165245.5</w:t>
            </w:r>
          </w:p>
        </w:tc>
      </w:tr>
      <w:tr w14:paraId="6CB365A5">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0D23">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五、农林水支出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D6C8">
            <w:pPr>
              <w:jc w:val="center"/>
              <w:rPr>
                <w:rFonts w:hint="default" w:ascii="Times New Roman" w:hAnsi="Times New Roman" w:eastAsia="等线" w:cs="Times New Roman"/>
                <w:i w:val="0"/>
                <w:color w:val="000000"/>
                <w:sz w:val="22"/>
                <w:szCs w:val="22"/>
                <w:u w:val="none"/>
              </w:rPr>
            </w:pPr>
          </w:p>
        </w:tc>
      </w:tr>
      <w:tr w14:paraId="45D4DD10">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FC93">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六、交通运输支出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14B8">
            <w:pPr>
              <w:jc w:val="center"/>
              <w:rPr>
                <w:rFonts w:hint="default" w:ascii="Times New Roman" w:hAnsi="Times New Roman" w:eastAsia="等线" w:cs="Times New Roman"/>
                <w:i w:val="0"/>
                <w:color w:val="000000"/>
                <w:sz w:val="22"/>
                <w:szCs w:val="22"/>
                <w:u w:val="none"/>
              </w:rPr>
            </w:pPr>
          </w:p>
        </w:tc>
      </w:tr>
      <w:tr w14:paraId="543F74C3">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E7783">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七、资源勘探工业信息等支出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CDA32">
            <w:pPr>
              <w:jc w:val="center"/>
              <w:rPr>
                <w:rFonts w:hint="default" w:ascii="Times New Roman" w:hAnsi="Times New Roman" w:eastAsia="等线" w:cs="Times New Roman"/>
                <w:i w:val="0"/>
                <w:color w:val="000000"/>
                <w:sz w:val="22"/>
                <w:szCs w:val="22"/>
                <w:u w:val="none"/>
              </w:rPr>
            </w:pPr>
          </w:p>
        </w:tc>
      </w:tr>
      <w:tr w14:paraId="43A91454">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76E6">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八、其他支出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21238">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1841.5</w:t>
            </w:r>
          </w:p>
        </w:tc>
      </w:tr>
      <w:tr w14:paraId="417BA0C7">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2E1C">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九、债务付息支出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99B5B">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11449</w:t>
            </w:r>
          </w:p>
        </w:tc>
      </w:tr>
      <w:tr w14:paraId="518CECFE">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FA0F5">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十、债务发行费用支出</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4D53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148</w:t>
            </w:r>
          </w:p>
        </w:tc>
      </w:tr>
      <w:tr w14:paraId="017E5EA4">
        <w:tblPrEx>
          <w:tblCellMar>
            <w:top w:w="0" w:type="dxa"/>
            <w:left w:w="0" w:type="dxa"/>
            <w:bottom w:w="0" w:type="dxa"/>
            <w:right w:w="0" w:type="dxa"/>
          </w:tblCellMar>
        </w:tblPrEx>
        <w:trPr>
          <w:gridAfter w:val="4"/>
          <w:wAfter w:w="75" w:type="dxa"/>
          <w:trHeight w:val="312"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E66AD">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支出合计</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5FD2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1178684</w:t>
            </w:r>
          </w:p>
        </w:tc>
      </w:tr>
      <w:tr w14:paraId="6171D80F">
        <w:tblPrEx>
          <w:tblCellMar>
            <w:top w:w="0" w:type="dxa"/>
            <w:left w:w="0" w:type="dxa"/>
            <w:bottom w:w="0" w:type="dxa"/>
            <w:right w:w="0" w:type="dxa"/>
          </w:tblCellMar>
        </w:tblPrEx>
        <w:trPr>
          <w:gridAfter w:val="4"/>
          <w:wAfter w:w="75" w:type="dxa"/>
          <w:trHeight w:val="402" w:hRule="atLeast"/>
        </w:trPr>
        <w:tc>
          <w:tcPr>
            <w:tcW w:w="8895" w:type="dxa"/>
            <w:gridSpan w:val="13"/>
            <w:tcBorders>
              <w:top w:val="single" w:color="000000" w:sz="4" w:space="0"/>
              <w:left w:val="nil"/>
              <w:bottom w:val="nil"/>
              <w:right w:val="nil"/>
            </w:tcBorders>
            <w:shd w:val="clear" w:color="auto" w:fill="auto"/>
            <w:tcMar>
              <w:top w:w="15" w:type="dxa"/>
              <w:left w:w="15" w:type="dxa"/>
              <w:right w:w="15" w:type="dxa"/>
            </w:tcMar>
            <w:vAlign w:val="center"/>
          </w:tcPr>
          <w:p w14:paraId="19651C84">
            <w:pPr>
              <w:keepNext w:val="0"/>
              <w:keepLines w:val="0"/>
              <w:widowControl/>
              <w:suppressLineNumbers w:val="0"/>
              <w:jc w:val="left"/>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4"/>
                <w:szCs w:val="24"/>
                <w:u w:val="none"/>
                <w:lang w:val="en-US" w:eastAsia="zh-CN" w:bidi="ar"/>
              </w:rPr>
              <w:t>备注：</w:t>
            </w:r>
            <w:r>
              <w:rPr>
                <w:rFonts w:hint="default" w:ascii="Times New Roman" w:hAnsi="Times New Roman" w:cs="Times New Roman" w:eastAsiaTheme="majorEastAsia"/>
                <w:i w:val="0"/>
                <w:color w:val="000000"/>
                <w:kern w:val="0"/>
                <w:sz w:val="24"/>
                <w:szCs w:val="24"/>
                <w:u w:val="none"/>
                <w:lang w:val="en-US" w:eastAsia="zh-CN" w:bidi="ar"/>
              </w:rPr>
              <w:t>支出明细表按照《预算法》规定提交人大有关专门委员会审查。</w:t>
            </w:r>
          </w:p>
        </w:tc>
      </w:tr>
      <w:tr w14:paraId="71EAC087">
        <w:tblPrEx>
          <w:tblCellMar>
            <w:top w:w="0" w:type="dxa"/>
            <w:left w:w="0" w:type="dxa"/>
            <w:bottom w:w="0" w:type="dxa"/>
            <w:right w:w="0" w:type="dxa"/>
          </w:tblCellMar>
        </w:tblPrEx>
        <w:trPr>
          <w:gridAfter w:val="7"/>
          <w:wAfter w:w="150" w:type="dxa"/>
          <w:trHeight w:val="585" w:hRule="atLeast"/>
        </w:trPr>
        <w:tc>
          <w:tcPr>
            <w:tcW w:w="8820" w:type="dxa"/>
            <w:gridSpan w:val="10"/>
            <w:tcBorders>
              <w:top w:val="nil"/>
              <w:left w:val="nil"/>
              <w:bottom w:val="nil"/>
              <w:right w:val="nil"/>
            </w:tcBorders>
            <w:shd w:val="clear" w:color="auto" w:fill="auto"/>
            <w:tcMar>
              <w:top w:w="15" w:type="dxa"/>
              <w:left w:w="15" w:type="dxa"/>
              <w:right w:w="15" w:type="dxa"/>
            </w:tcMar>
            <w:vAlign w:val="center"/>
          </w:tcPr>
          <w:p w14:paraId="099EEC69">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2021年市级国有资本经营预算收入表</w:t>
            </w:r>
          </w:p>
        </w:tc>
      </w:tr>
      <w:tr w14:paraId="6216E52B">
        <w:tblPrEx>
          <w:tblCellMar>
            <w:top w:w="0" w:type="dxa"/>
            <w:left w:w="0" w:type="dxa"/>
            <w:bottom w:w="0" w:type="dxa"/>
            <w:right w:w="0" w:type="dxa"/>
          </w:tblCellMar>
        </w:tblPrEx>
        <w:trPr>
          <w:gridAfter w:val="7"/>
          <w:wAfter w:w="150" w:type="dxa"/>
          <w:trHeight w:val="450" w:hRule="atLeast"/>
        </w:trPr>
        <w:tc>
          <w:tcPr>
            <w:tcW w:w="4920" w:type="dxa"/>
            <w:tcBorders>
              <w:top w:val="nil"/>
              <w:left w:val="nil"/>
              <w:bottom w:val="nil"/>
              <w:right w:val="nil"/>
            </w:tcBorders>
            <w:shd w:val="clear" w:color="auto" w:fill="auto"/>
            <w:tcMar>
              <w:top w:w="15" w:type="dxa"/>
              <w:left w:w="15" w:type="dxa"/>
              <w:right w:w="15" w:type="dxa"/>
            </w:tcMar>
            <w:vAlign w:val="center"/>
          </w:tcPr>
          <w:p w14:paraId="2E964B2B">
            <w:pPr>
              <w:rPr>
                <w:rFonts w:hint="default" w:ascii="Times New Roman" w:hAnsi="Times New Roman" w:eastAsia="黑体" w:cs="Times New Roman"/>
                <w:i w:val="0"/>
                <w:color w:val="000000"/>
                <w:sz w:val="24"/>
                <w:szCs w:val="24"/>
                <w:u w:val="none"/>
              </w:rPr>
            </w:pPr>
          </w:p>
        </w:tc>
        <w:tc>
          <w:tcPr>
            <w:tcW w:w="3900" w:type="dxa"/>
            <w:gridSpan w:val="9"/>
            <w:tcBorders>
              <w:top w:val="nil"/>
              <w:left w:val="nil"/>
              <w:bottom w:val="nil"/>
              <w:right w:val="nil"/>
            </w:tcBorders>
            <w:shd w:val="clear" w:color="auto" w:fill="auto"/>
            <w:tcMar>
              <w:top w:w="15" w:type="dxa"/>
              <w:left w:w="15" w:type="dxa"/>
              <w:right w:w="15" w:type="dxa"/>
            </w:tcMar>
            <w:vAlign w:val="center"/>
          </w:tcPr>
          <w:p w14:paraId="0BF79243">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单位：万元</w:t>
            </w:r>
          </w:p>
        </w:tc>
      </w:tr>
      <w:tr w14:paraId="58B7954A">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A5A1FA">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   目</w:t>
            </w:r>
          </w:p>
        </w:tc>
        <w:tc>
          <w:tcPr>
            <w:tcW w:w="3900" w:type="dxa"/>
            <w:gridSpan w:val="9"/>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5029D0EB">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收   入</w:t>
            </w:r>
          </w:p>
        </w:tc>
      </w:tr>
      <w:tr w14:paraId="590D69E6">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8DD2">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一、利润收入</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6F6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240</w:t>
            </w:r>
          </w:p>
        </w:tc>
      </w:tr>
      <w:tr w14:paraId="276300F8">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390D">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二、股利、股息收入</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0A48">
            <w:pPr>
              <w:jc w:val="center"/>
              <w:rPr>
                <w:rFonts w:hint="default" w:ascii="Times New Roman" w:hAnsi="Times New Roman" w:eastAsia="等线" w:cs="Times New Roman"/>
                <w:i w:val="0"/>
                <w:color w:val="000000"/>
                <w:sz w:val="24"/>
                <w:szCs w:val="24"/>
                <w:u w:val="none"/>
              </w:rPr>
            </w:pPr>
          </w:p>
        </w:tc>
      </w:tr>
      <w:tr w14:paraId="5FFE7DD7">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544F7">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三、产权转让收入</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220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360</w:t>
            </w:r>
          </w:p>
        </w:tc>
      </w:tr>
      <w:tr w14:paraId="77143B7B">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3EEBE">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四、清算收入</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4DF2">
            <w:pPr>
              <w:jc w:val="center"/>
              <w:rPr>
                <w:rFonts w:hint="default" w:ascii="Times New Roman" w:hAnsi="Times New Roman" w:eastAsia="等线" w:cs="Times New Roman"/>
                <w:i w:val="0"/>
                <w:color w:val="000000"/>
                <w:sz w:val="24"/>
                <w:szCs w:val="24"/>
                <w:u w:val="none"/>
              </w:rPr>
            </w:pPr>
          </w:p>
        </w:tc>
      </w:tr>
      <w:tr w14:paraId="206E75A3">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102B">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五、其他国有资本经营预算收入</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80CC">
            <w:pPr>
              <w:jc w:val="center"/>
              <w:rPr>
                <w:rFonts w:hint="default" w:ascii="Times New Roman" w:hAnsi="Times New Roman" w:eastAsia="等线" w:cs="Times New Roman"/>
                <w:i w:val="0"/>
                <w:color w:val="000000"/>
                <w:sz w:val="24"/>
                <w:szCs w:val="24"/>
                <w:u w:val="none"/>
              </w:rPr>
            </w:pPr>
          </w:p>
        </w:tc>
      </w:tr>
      <w:tr w14:paraId="34EFAF6F">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E1B6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收入</w:t>
            </w:r>
            <w:r>
              <w:rPr>
                <w:rFonts w:hint="eastAsia" w:cs="Times New Roman"/>
                <w:i w:val="0"/>
                <w:color w:val="000000"/>
                <w:kern w:val="0"/>
                <w:sz w:val="24"/>
                <w:szCs w:val="24"/>
                <w:u w:val="none"/>
                <w:lang w:val="en-US" w:eastAsia="zh-CN" w:bidi="ar"/>
              </w:rPr>
              <w:t>合</w:t>
            </w:r>
            <w:r>
              <w:rPr>
                <w:rFonts w:hint="default" w:ascii="Times New Roman" w:hAnsi="Times New Roman" w:eastAsia="宋体" w:cs="Times New Roman"/>
                <w:i w:val="0"/>
                <w:color w:val="000000"/>
                <w:kern w:val="0"/>
                <w:sz w:val="24"/>
                <w:szCs w:val="24"/>
                <w:u w:val="none"/>
                <w:lang w:val="en-US" w:eastAsia="zh-CN" w:bidi="ar"/>
              </w:rPr>
              <w:t>计</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28A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600</w:t>
            </w:r>
          </w:p>
        </w:tc>
      </w:tr>
      <w:tr w14:paraId="5C16DBD5">
        <w:tblPrEx>
          <w:tblCellMar>
            <w:top w:w="0" w:type="dxa"/>
            <w:left w:w="0" w:type="dxa"/>
            <w:bottom w:w="0" w:type="dxa"/>
            <w:right w:w="0" w:type="dxa"/>
          </w:tblCellMar>
        </w:tblPrEx>
        <w:trPr>
          <w:gridAfter w:val="7"/>
          <w:wAfter w:w="150" w:type="dxa"/>
          <w:trHeight w:val="615" w:hRule="atLeast"/>
        </w:trPr>
        <w:tc>
          <w:tcPr>
            <w:tcW w:w="4920" w:type="dxa"/>
            <w:tcBorders>
              <w:top w:val="nil"/>
              <w:left w:val="nil"/>
              <w:bottom w:val="nil"/>
              <w:right w:val="nil"/>
            </w:tcBorders>
            <w:shd w:val="clear" w:color="auto" w:fill="auto"/>
            <w:tcMar>
              <w:top w:w="15" w:type="dxa"/>
              <w:left w:w="15" w:type="dxa"/>
              <w:right w:w="15" w:type="dxa"/>
            </w:tcMar>
            <w:vAlign w:val="center"/>
          </w:tcPr>
          <w:p w14:paraId="149665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i w:val="0"/>
                <w:color w:val="000000"/>
                <w:sz w:val="24"/>
                <w:szCs w:val="24"/>
                <w:u w:val="none"/>
              </w:rPr>
            </w:pPr>
          </w:p>
        </w:tc>
        <w:tc>
          <w:tcPr>
            <w:tcW w:w="3900" w:type="dxa"/>
            <w:gridSpan w:val="9"/>
            <w:tcBorders>
              <w:top w:val="nil"/>
              <w:left w:val="nil"/>
              <w:bottom w:val="nil"/>
              <w:right w:val="nil"/>
            </w:tcBorders>
            <w:shd w:val="clear" w:color="auto" w:fill="auto"/>
            <w:tcMar>
              <w:top w:w="15" w:type="dxa"/>
              <w:left w:w="15" w:type="dxa"/>
              <w:right w:w="15" w:type="dxa"/>
            </w:tcMar>
            <w:vAlign w:val="center"/>
          </w:tcPr>
          <w:p w14:paraId="67820A78">
            <w:pPr>
              <w:jc w:val="right"/>
              <w:rPr>
                <w:rFonts w:hint="default" w:ascii="Times New Roman" w:hAnsi="Times New Roman" w:eastAsia="等线" w:cs="Times New Roman"/>
                <w:i w:val="0"/>
                <w:color w:val="000000"/>
                <w:sz w:val="24"/>
                <w:szCs w:val="24"/>
                <w:u w:val="none"/>
              </w:rPr>
            </w:pPr>
          </w:p>
        </w:tc>
      </w:tr>
      <w:tr w14:paraId="6413DD21">
        <w:tblPrEx>
          <w:tblCellMar>
            <w:top w:w="0" w:type="dxa"/>
            <w:left w:w="0" w:type="dxa"/>
            <w:bottom w:w="0" w:type="dxa"/>
            <w:right w:w="0" w:type="dxa"/>
          </w:tblCellMar>
        </w:tblPrEx>
        <w:trPr>
          <w:gridAfter w:val="7"/>
          <w:wAfter w:w="150" w:type="dxa"/>
          <w:trHeight w:val="600" w:hRule="atLeast"/>
        </w:trPr>
        <w:tc>
          <w:tcPr>
            <w:tcW w:w="8820" w:type="dxa"/>
            <w:gridSpan w:val="10"/>
            <w:tcBorders>
              <w:top w:val="nil"/>
              <w:left w:val="nil"/>
              <w:bottom w:val="nil"/>
              <w:right w:val="nil"/>
            </w:tcBorders>
            <w:shd w:val="clear" w:color="auto" w:fill="auto"/>
            <w:tcMar>
              <w:top w:w="15" w:type="dxa"/>
              <w:left w:w="15" w:type="dxa"/>
              <w:right w:w="15" w:type="dxa"/>
            </w:tcMar>
            <w:vAlign w:val="center"/>
          </w:tcPr>
          <w:p w14:paraId="131D6E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2021年市级国有资本经营预算支出表</w:t>
            </w:r>
          </w:p>
        </w:tc>
      </w:tr>
      <w:tr w14:paraId="316A310A">
        <w:tblPrEx>
          <w:tblCellMar>
            <w:top w:w="0" w:type="dxa"/>
            <w:left w:w="0" w:type="dxa"/>
            <w:bottom w:w="0" w:type="dxa"/>
            <w:right w:w="0" w:type="dxa"/>
          </w:tblCellMar>
        </w:tblPrEx>
        <w:trPr>
          <w:gridAfter w:val="7"/>
          <w:wAfter w:w="150" w:type="dxa"/>
          <w:trHeight w:val="435" w:hRule="atLeast"/>
        </w:trPr>
        <w:tc>
          <w:tcPr>
            <w:tcW w:w="4920" w:type="dxa"/>
            <w:tcBorders>
              <w:top w:val="nil"/>
              <w:left w:val="nil"/>
              <w:bottom w:val="nil"/>
              <w:right w:val="nil"/>
            </w:tcBorders>
            <w:shd w:val="clear" w:color="auto" w:fill="auto"/>
            <w:tcMar>
              <w:top w:w="15" w:type="dxa"/>
              <w:left w:w="15" w:type="dxa"/>
              <w:right w:w="15" w:type="dxa"/>
            </w:tcMar>
            <w:vAlign w:val="center"/>
          </w:tcPr>
          <w:p w14:paraId="415C0C43">
            <w:pPr>
              <w:rPr>
                <w:rFonts w:hint="default" w:ascii="Times New Roman" w:hAnsi="Times New Roman" w:eastAsia="宋体" w:cs="Times New Roman"/>
                <w:i w:val="0"/>
                <w:color w:val="000000"/>
                <w:sz w:val="24"/>
                <w:szCs w:val="24"/>
                <w:u w:val="none"/>
              </w:rPr>
            </w:pPr>
          </w:p>
        </w:tc>
        <w:tc>
          <w:tcPr>
            <w:tcW w:w="3900" w:type="dxa"/>
            <w:gridSpan w:val="9"/>
            <w:tcBorders>
              <w:top w:val="nil"/>
              <w:left w:val="nil"/>
              <w:bottom w:val="nil"/>
              <w:right w:val="nil"/>
            </w:tcBorders>
            <w:shd w:val="clear" w:color="auto" w:fill="auto"/>
            <w:tcMar>
              <w:top w:w="15" w:type="dxa"/>
              <w:left w:w="15" w:type="dxa"/>
              <w:right w:w="15" w:type="dxa"/>
            </w:tcMar>
            <w:vAlign w:val="center"/>
          </w:tcPr>
          <w:p w14:paraId="4B07900B">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单位：万元</w:t>
            </w:r>
          </w:p>
        </w:tc>
      </w:tr>
      <w:tr w14:paraId="1962D342">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680B25">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   目</w:t>
            </w:r>
          </w:p>
        </w:tc>
        <w:tc>
          <w:tcPr>
            <w:tcW w:w="3900" w:type="dxa"/>
            <w:gridSpan w:val="9"/>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16722647">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支   出</w:t>
            </w:r>
          </w:p>
        </w:tc>
      </w:tr>
      <w:tr w14:paraId="70CC4CE5">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EA59E">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一、解决历史遗留问题及改革成本支出</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F69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200</w:t>
            </w:r>
          </w:p>
        </w:tc>
      </w:tr>
      <w:tr w14:paraId="11106D3C">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F20B">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二、国有企业资本金注入</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AE48">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120</w:t>
            </w:r>
          </w:p>
        </w:tc>
      </w:tr>
      <w:tr w14:paraId="348E95B0">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2A05">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三、国有企业政策性补贴</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596A">
            <w:pPr>
              <w:jc w:val="center"/>
              <w:rPr>
                <w:rFonts w:hint="default" w:ascii="Times New Roman" w:hAnsi="Times New Roman" w:eastAsia="等线" w:cs="Times New Roman"/>
                <w:i w:val="0"/>
                <w:color w:val="000000"/>
                <w:sz w:val="24"/>
                <w:szCs w:val="24"/>
                <w:u w:val="none"/>
              </w:rPr>
            </w:pPr>
          </w:p>
        </w:tc>
      </w:tr>
      <w:tr w14:paraId="2290E517">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5986">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四、金融国有资本经营预算支出</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FA534">
            <w:pPr>
              <w:jc w:val="center"/>
              <w:rPr>
                <w:rFonts w:hint="default" w:ascii="Times New Roman" w:hAnsi="Times New Roman" w:eastAsia="等线" w:cs="Times New Roman"/>
                <w:i w:val="0"/>
                <w:color w:val="000000"/>
                <w:sz w:val="24"/>
                <w:szCs w:val="24"/>
                <w:u w:val="none"/>
              </w:rPr>
            </w:pPr>
          </w:p>
        </w:tc>
      </w:tr>
      <w:tr w14:paraId="317DCBD7">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493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五、其他国有资本经营预算支出</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BC65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936</w:t>
            </w:r>
          </w:p>
        </w:tc>
      </w:tr>
      <w:tr w14:paraId="43BB0974">
        <w:tblPrEx>
          <w:tblCellMar>
            <w:top w:w="0" w:type="dxa"/>
            <w:left w:w="0" w:type="dxa"/>
            <w:bottom w:w="0" w:type="dxa"/>
            <w:right w:w="0" w:type="dxa"/>
          </w:tblCellMar>
        </w:tblPrEx>
        <w:trPr>
          <w:gridAfter w:val="7"/>
          <w:wAfter w:w="150" w:type="dxa"/>
          <w:trHeight w:val="624" w:hRule="atLeast"/>
        </w:trPr>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2BB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eastAsia" w:cs="Times New Roman"/>
                <w:i w:val="0"/>
                <w:color w:val="000000"/>
                <w:kern w:val="0"/>
                <w:sz w:val="24"/>
                <w:szCs w:val="24"/>
                <w:u w:val="none"/>
                <w:lang w:val="en-US" w:eastAsia="zh-CN" w:bidi="ar"/>
              </w:rPr>
              <w:t>支出合</w:t>
            </w:r>
            <w:r>
              <w:rPr>
                <w:rFonts w:hint="default" w:ascii="Times New Roman" w:hAnsi="Times New Roman" w:eastAsia="宋体" w:cs="Times New Roman"/>
                <w:i w:val="0"/>
                <w:color w:val="000000"/>
                <w:kern w:val="0"/>
                <w:sz w:val="24"/>
                <w:szCs w:val="24"/>
                <w:u w:val="none"/>
                <w:lang w:val="en-US" w:eastAsia="zh-CN" w:bidi="ar"/>
              </w:rPr>
              <w:t>计</w:t>
            </w:r>
          </w:p>
        </w:tc>
        <w:tc>
          <w:tcPr>
            <w:tcW w:w="390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C72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1256</w:t>
            </w:r>
          </w:p>
        </w:tc>
      </w:tr>
      <w:tr w14:paraId="7B6BA37A">
        <w:tblPrEx>
          <w:tblCellMar>
            <w:top w:w="0" w:type="dxa"/>
            <w:left w:w="0" w:type="dxa"/>
            <w:bottom w:w="0" w:type="dxa"/>
            <w:right w:w="0" w:type="dxa"/>
          </w:tblCellMar>
        </w:tblPrEx>
        <w:trPr>
          <w:gridAfter w:val="7"/>
          <w:wAfter w:w="150" w:type="dxa"/>
          <w:trHeight w:val="270" w:hRule="atLeast"/>
        </w:trPr>
        <w:tc>
          <w:tcPr>
            <w:tcW w:w="8820" w:type="dxa"/>
            <w:gridSpan w:val="10"/>
            <w:tcBorders>
              <w:top w:val="single" w:color="000000" w:sz="4" w:space="0"/>
              <w:left w:val="nil"/>
              <w:bottom w:val="nil"/>
              <w:right w:val="nil"/>
            </w:tcBorders>
            <w:shd w:val="clear" w:color="auto" w:fill="auto"/>
            <w:tcMar>
              <w:top w:w="15" w:type="dxa"/>
              <w:left w:w="15" w:type="dxa"/>
              <w:right w:w="15" w:type="dxa"/>
            </w:tcMar>
            <w:vAlign w:val="center"/>
          </w:tcPr>
          <w:p w14:paraId="7493262F">
            <w:pPr>
              <w:keepNext w:val="0"/>
              <w:keepLines w:val="0"/>
              <w:widowControl/>
              <w:suppressLineNumbers w:val="0"/>
              <w:jc w:val="left"/>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4"/>
                <w:szCs w:val="24"/>
                <w:u w:val="none"/>
                <w:lang w:val="en-US" w:eastAsia="zh-CN" w:bidi="ar"/>
              </w:rPr>
              <w:t>备注：</w:t>
            </w:r>
            <w:r>
              <w:rPr>
                <w:rFonts w:hint="default" w:ascii="Times New Roman" w:hAnsi="Times New Roman" w:cs="Times New Roman" w:eastAsiaTheme="majorEastAsia"/>
                <w:i w:val="0"/>
                <w:color w:val="000000"/>
                <w:kern w:val="0"/>
                <w:sz w:val="24"/>
                <w:szCs w:val="24"/>
                <w:u w:val="none"/>
                <w:lang w:val="en-US" w:eastAsia="zh-CN" w:bidi="ar"/>
              </w:rPr>
              <w:t>支出明细表按照《预算法》规定提交人大有关专门委员会审查。</w:t>
            </w:r>
          </w:p>
        </w:tc>
      </w:tr>
      <w:tr w14:paraId="1D7136C4">
        <w:tblPrEx>
          <w:tblCellMar>
            <w:top w:w="0" w:type="dxa"/>
            <w:left w:w="0" w:type="dxa"/>
            <w:bottom w:w="0" w:type="dxa"/>
            <w:right w:w="0" w:type="dxa"/>
          </w:tblCellMar>
        </w:tblPrEx>
        <w:trPr>
          <w:gridAfter w:val="8"/>
          <w:wAfter w:w="165" w:type="dxa"/>
          <w:trHeight w:val="735" w:hRule="atLeast"/>
        </w:trPr>
        <w:tc>
          <w:tcPr>
            <w:tcW w:w="8805" w:type="dxa"/>
            <w:gridSpan w:val="9"/>
            <w:tcBorders>
              <w:top w:val="nil"/>
              <w:left w:val="nil"/>
              <w:bottom w:val="nil"/>
              <w:right w:val="nil"/>
            </w:tcBorders>
            <w:shd w:val="clear" w:color="auto" w:fill="auto"/>
            <w:tcMar>
              <w:top w:w="15" w:type="dxa"/>
              <w:left w:w="15" w:type="dxa"/>
              <w:right w:w="15" w:type="dxa"/>
            </w:tcMar>
            <w:vAlign w:val="center"/>
          </w:tcPr>
          <w:p w14:paraId="0A834AE8">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2021年市级社会保险基金预算收入表</w:t>
            </w:r>
          </w:p>
        </w:tc>
      </w:tr>
      <w:tr w14:paraId="0539025A">
        <w:tblPrEx>
          <w:tblCellMar>
            <w:top w:w="0" w:type="dxa"/>
            <w:left w:w="0" w:type="dxa"/>
            <w:bottom w:w="0" w:type="dxa"/>
            <w:right w:w="0" w:type="dxa"/>
          </w:tblCellMar>
        </w:tblPrEx>
        <w:trPr>
          <w:gridAfter w:val="8"/>
          <w:wAfter w:w="165" w:type="dxa"/>
          <w:trHeight w:val="405" w:hRule="atLeast"/>
        </w:trPr>
        <w:tc>
          <w:tcPr>
            <w:tcW w:w="5295" w:type="dxa"/>
            <w:gridSpan w:val="6"/>
            <w:tcBorders>
              <w:top w:val="nil"/>
              <w:left w:val="nil"/>
              <w:bottom w:val="nil"/>
              <w:right w:val="nil"/>
            </w:tcBorders>
            <w:shd w:val="clear" w:color="auto" w:fill="auto"/>
            <w:tcMar>
              <w:top w:w="15" w:type="dxa"/>
              <w:left w:w="15" w:type="dxa"/>
              <w:right w:w="15" w:type="dxa"/>
            </w:tcMar>
            <w:vAlign w:val="center"/>
          </w:tcPr>
          <w:p w14:paraId="29BDF8B3">
            <w:pPr>
              <w:rPr>
                <w:rFonts w:hint="default" w:ascii="Times New Roman" w:hAnsi="Times New Roman" w:eastAsia="黑体" w:cs="Times New Roman"/>
                <w:i w:val="0"/>
                <w:color w:val="000000"/>
                <w:sz w:val="24"/>
                <w:szCs w:val="24"/>
                <w:u w:val="none"/>
              </w:rPr>
            </w:pPr>
          </w:p>
        </w:tc>
        <w:tc>
          <w:tcPr>
            <w:tcW w:w="3510" w:type="dxa"/>
            <w:gridSpan w:val="3"/>
            <w:tcBorders>
              <w:top w:val="nil"/>
              <w:left w:val="nil"/>
              <w:bottom w:val="nil"/>
              <w:right w:val="nil"/>
            </w:tcBorders>
            <w:shd w:val="clear" w:color="auto" w:fill="auto"/>
            <w:tcMar>
              <w:top w:w="15" w:type="dxa"/>
              <w:left w:w="15" w:type="dxa"/>
              <w:right w:w="15" w:type="dxa"/>
            </w:tcMar>
            <w:vAlign w:val="center"/>
          </w:tcPr>
          <w:p w14:paraId="3052A5EF">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单位：万元</w:t>
            </w:r>
          </w:p>
        </w:tc>
      </w:tr>
      <w:tr w14:paraId="65211F61">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9832">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   目</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66B8E">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当年收入</w:t>
            </w:r>
          </w:p>
        </w:tc>
      </w:tr>
      <w:tr w14:paraId="71E3CF52">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A53BB">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企业职工基本养老保险基金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3E377">
            <w:pPr>
              <w:jc w:val="right"/>
              <w:rPr>
                <w:rFonts w:hint="default" w:ascii="Times New Roman" w:hAnsi="Times New Roman" w:eastAsia="等线" w:cs="Times New Roman"/>
                <w:i w:val="0"/>
                <w:color w:val="000000"/>
                <w:sz w:val="24"/>
                <w:szCs w:val="24"/>
                <w:u w:val="none"/>
              </w:rPr>
            </w:pPr>
          </w:p>
        </w:tc>
      </w:tr>
      <w:tr w14:paraId="08F2CDBA">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2803">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城乡居民基本养老保险基金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9C46">
            <w:pPr>
              <w:jc w:val="center"/>
              <w:rPr>
                <w:rFonts w:hint="default" w:ascii="Times New Roman" w:hAnsi="Times New Roman" w:eastAsia="等线" w:cs="Times New Roman"/>
                <w:i w:val="0"/>
                <w:color w:val="000000"/>
                <w:sz w:val="24"/>
                <w:szCs w:val="24"/>
                <w:u w:val="none"/>
              </w:rPr>
            </w:pPr>
          </w:p>
        </w:tc>
      </w:tr>
      <w:tr w14:paraId="7D42DFC8">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A01D">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机关事业单位基本养老保险基金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E555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65366</w:t>
            </w:r>
          </w:p>
        </w:tc>
      </w:tr>
      <w:tr w14:paraId="0C5C3339">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8D52A">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职工基本医疗保险基金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C0A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101510</w:t>
            </w:r>
          </w:p>
        </w:tc>
      </w:tr>
      <w:tr w14:paraId="749E36ED">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F3EE0">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城乡居民基本医疗保险基金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6A28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263314</w:t>
            </w:r>
          </w:p>
        </w:tc>
      </w:tr>
      <w:tr w14:paraId="0257C419">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1CCC">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工伤保险基金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762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4917</w:t>
            </w:r>
          </w:p>
        </w:tc>
      </w:tr>
      <w:tr w14:paraId="7AFEA876">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E135A">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失业保险基金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0998">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5167</w:t>
            </w:r>
          </w:p>
        </w:tc>
      </w:tr>
      <w:tr w14:paraId="1AD44F0F">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07B5">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生育保险基金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AD52">
            <w:pPr>
              <w:jc w:val="center"/>
              <w:rPr>
                <w:rFonts w:hint="default" w:ascii="Times New Roman" w:hAnsi="Times New Roman" w:eastAsia="等线" w:cs="Times New Roman"/>
                <w:i w:val="0"/>
                <w:color w:val="000000"/>
                <w:sz w:val="24"/>
                <w:szCs w:val="24"/>
                <w:u w:val="none"/>
              </w:rPr>
            </w:pPr>
          </w:p>
        </w:tc>
      </w:tr>
      <w:tr w14:paraId="6C5717AE">
        <w:tblPrEx>
          <w:tblCellMar>
            <w:top w:w="0" w:type="dxa"/>
            <w:left w:w="0" w:type="dxa"/>
            <w:bottom w:w="0" w:type="dxa"/>
            <w:right w:w="0" w:type="dxa"/>
          </w:tblCellMar>
        </w:tblPrEx>
        <w:trPr>
          <w:gridAfter w:val="8"/>
          <w:wAfter w:w="165" w:type="dxa"/>
          <w:trHeight w:val="442"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1A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收入合计</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EF3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440273</w:t>
            </w:r>
          </w:p>
        </w:tc>
      </w:tr>
      <w:tr w14:paraId="73090C33">
        <w:tblPrEx>
          <w:tblCellMar>
            <w:top w:w="0" w:type="dxa"/>
            <w:left w:w="0" w:type="dxa"/>
            <w:bottom w:w="0" w:type="dxa"/>
            <w:right w:w="0" w:type="dxa"/>
          </w:tblCellMar>
        </w:tblPrEx>
        <w:trPr>
          <w:gridAfter w:val="8"/>
          <w:wAfter w:w="165" w:type="dxa"/>
          <w:trHeight w:val="435" w:hRule="atLeast"/>
        </w:trPr>
        <w:tc>
          <w:tcPr>
            <w:tcW w:w="5295" w:type="dxa"/>
            <w:gridSpan w:val="6"/>
            <w:tcBorders>
              <w:top w:val="nil"/>
              <w:left w:val="nil"/>
              <w:bottom w:val="nil"/>
              <w:right w:val="nil"/>
            </w:tcBorders>
            <w:shd w:val="clear" w:color="auto" w:fill="auto"/>
            <w:tcMar>
              <w:top w:w="15" w:type="dxa"/>
              <w:left w:w="15" w:type="dxa"/>
              <w:right w:w="15" w:type="dxa"/>
            </w:tcMar>
            <w:vAlign w:val="center"/>
          </w:tcPr>
          <w:p w14:paraId="4A25D9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i w:val="0"/>
                <w:color w:val="000000"/>
                <w:sz w:val="24"/>
                <w:szCs w:val="24"/>
                <w:u w:val="none"/>
              </w:rPr>
            </w:pPr>
          </w:p>
        </w:tc>
        <w:tc>
          <w:tcPr>
            <w:tcW w:w="3510" w:type="dxa"/>
            <w:gridSpan w:val="3"/>
            <w:tcBorders>
              <w:top w:val="nil"/>
              <w:left w:val="nil"/>
              <w:bottom w:val="nil"/>
              <w:right w:val="nil"/>
            </w:tcBorders>
            <w:shd w:val="clear" w:color="auto" w:fill="auto"/>
            <w:tcMar>
              <w:top w:w="15" w:type="dxa"/>
              <w:left w:w="15" w:type="dxa"/>
              <w:right w:w="15" w:type="dxa"/>
            </w:tcMar>
            <w:vAlign w:val="center"/>
          </w:tcPr>
          <w:p w14:paraId="2A6241FF">
            <w:pPr>
              <w:jc w:val="right"/>
              <w:rPr>
                <w:rFonts w:hint="default" w:ascii="Times New Roman" w:hAnsi="Times New Roman" w:eastAsia="等线" w:cs="Times New Roman"/>
                <w:i w:val="0"/>
                <w:color w:val="000000"/>
                <w:sz w:val="24"/>
                <w:szCs w:val="24"/>
                <w:u w:val="none"/>
              </w:rPr>
            </w:pPr>
          </w:p>
        </w:tc>
      </w:tr>
      <w:tr w14:paraId="07FBF41F">
        <w:tblPrEx>
          <w:tblCellMar>
            <w:top w:w="0" w:type="dxa"/>
            <w:left w:w="0" w:type="dxa"/>
            <w:bottom w:w="0" w:type="dxa"/>
            <w:right w:w="0" w:type="dxa"/>
          </w:tblCellMar>
        </w:tblPrEx>
        <w:trPr>
          <w:gridAfter w:val="8"/>
          <w:wAfter w:w="165" w:type="dxa"/>
          <w:trHeight w:val="954" w:hRule="atLeast"/>
        </w:trPr>
        <w:tc>
          <w:tcPr>
            <w:tcW w:w="8805" w:type="dxa"/>
            <w:gridSpan w:val="9"/>
            <w:tcBorders>
              <w:top w:val="nil"/>
              <w:left w:val="nil"/>
              <w:bottom w:val="nil"/>
              <w:right w:val="nil"/>
            </w:tcBorders>
            <w:shd w:val="clear" w:color="auto" w:fill="auto"/>
            <w:tcMar>
              <w:top w:w="15" w:type="dxa"/>
              <w:left w:w="15" w:type="dxa"/>
              <w:right w:w="15" w:type="dxa"/>
            </w:tcMar>
            <w:vAlign w:val="center"/>
          </w:tcPr>
          <w:p w14:paraId="00426C49">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2021年市级社会保险基金预算支出表</w:t>
            </w:r>
          </w:p>
        </w:tc>
      </w:tr>
      <w:tr w14:paraId="2FEB495E">
        <w:tblPrEx>
          <w:tblCellMar>
            <w:top w:w="0" w:type="dxa"/>
            <w:left w:w="0" w:type="dxa"/>
            <w:bottom w:w="0" w:type="dxa"/>
            <w:right w:w="0" w:type="dxa"/>
          </w:tblCellMar>
        </w:tblPrEx>
        <w:trPr>
          <w:gridAfter w:val="8"/>
          <w:wAfter w:w="165" w:type="dxa"/>
          <w:trHeight w:val="375" w:hRule="atLeast"/>
        </w:trPr>
        <w:tc>
          <w:tcPr>
            <w:tcW w:w="5295" w:type="dxa"/>
            <w:gridSpan w:val="6"/>
            <w:tcBorders>
              <w:top w:val="nil"/>
              <w:left w:val="nil"/>
              <w:bottom w:val="nil"/>
              <w:right w:val="nil"/>
            </w:tcBorders>
            <w:shd w:val="clear" w:color="auto" w:fill="auto"/>
            <w:tcMar>
              <w:top w:w="15" w:type="dxa"/>
              <w:left w:w="15" w:type="dxa"/>
              <w:right w:w="15" w:type="dxa"/>
            </w:tcMar>
            <w:vAlign w:val="center"/>
          </w:tcPr>
          <w:p w14:paraId="2ADF8129">
            <w:pPr>
              <w:rPr>
                <w:rFonts w:hint="default" w:ascii="Times New Roman" w:hAnsi="Times New Roman" w:eastAsia="黑体" w:cs="Times New Roman"/>
                <w:i w:val="0"/>
                <w:color w:val="000000"/>
                <w:sz w:val="24"/>
                <w:szCs w:val="24"/>
                <w:u w:val="none"/>
              </w:rPr>
            </w:pPr>
          </w:p>
        </w:tc>
        <w:tc>
          <w:tcPr>
            <w:tcW w:w="3510" w:type="dxa"/>
            <w:gridSpan w:val="3"/>
            <w:tcBorders>
              <w:top w:val="nil"/>
              <w:left w:val="nil"/>
              <w:bottom w:val="nil"/>
              <w:right w:val="nil"/>
            </w:tcBorders>
            <w:shd w:val="clear" w:color="auto" w:fill="auto"/>
            <w:tcMar>
              <w:top w:w="15" w:type="dxa"/>
              <w:left w:w="15" w:type="dxa"/>
              <w:right w:w="15" w:type="dxa"/>
            </w:tcMar>
            <w:vAlign w:val="center"/>
          </w:tcPr>
          <w:p w14:paraId="0F6F827D">
            <w:pPr>
              <w:keepNext w:val="0"/>
              <w:keepLines w:val="0"/>
              <w:widowControl/>
              <w:suppressLineNumbers w:val="0"/>
              <w:jc w:val="righ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楷体_GB2312" w:cs="Times New Roman"/>
                <w:b w:val="0"/>
                <w:i w:val="0"/>
                <w:color w:val="000000"/>
                <w:kern w:val="0"/>
                <w:sz w:val="24"/>
                <w:szCs w:val="24"/>
                <w:u w:val="none"/>
                <w:lang w:val="en-US" w:eastAsia="zh-CN" w:bidi="ar"/>
              </w:rPr>
              <w:t>单位：万元</w:t>
            </w:r>
          </w:p>
        </w:tc>
      </w:tr>
      <w:tr w14:paraId="0C7DCD3D">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E615">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科   目</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C880">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支出</w:t>
            </w:r>
          </w:p>
        </w:tc>
      </w:tr>
      <w:tr w14:paraId="14F3287C">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2525F">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企业职工基本养老保险基金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F1FD">
            <w:pPr>
              <w:jc w:val="center"/>
              <w:rPr>
                <w:rFonts w:hint="default" w:ascii="Times New Roman" w:hAnsi="Times New Roman" w:eastAsia="等线" w:cs="Times New Roman"/>
                <w:i w:val="0"/>
                <w:color w:val="000000"/>
                <w:sz w:val="24"/>
                <w:szCs w:val="24"/>
                <w:u w:val="none"/>
              </w:rPr>
            </w:pPr>
          </w:p>
        </w:tc>
      </w:tr>
      <w:tr w14:paraId="53AC6187">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E9076">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城乡居民基本养老保险基金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21D7E">
            <w:pPr>
              <w:jc w:val="center"/>
              <w:rPr>
                <w:rFonts w:hint="default" w:ascii="Times New Roman" w:hAnsi="Times New Roman" w:eastAsia="等线" w:cs="Times New Roman"/>
                <w:i w:val="0"/>
                <w:color w:val="000000"/>
                <w:sz w:val="24"/>
                <w:szCs w:val="24"/>
                <w:u w:val="none"/>
              </w:rPr>
            </w:pPr>
          </w:p>
        </w:tc>
      </w:tr>
      <w:tr w14:paraId="43C941F2">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9678">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机关事业单位基本养老保险基金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4C4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64481</w:t>
            </w:r>
          </w:p>
        </w:tc>
      </w:tr>
      <w:tr w14:paraId="135304A0">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CA295">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职工基本医疗保险基金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A5EE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99537</w:t>
            </w:r>
          </w:p>
        </w:tc>
      </w:tr>
      <w:tr w14:paraId="5F81418A">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E03C">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城乡居民基本医疗保险基金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C3561">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257897</w:t>
            </w:r>
          </w:p>
        </w:tc>
      </w:tr>
      <w:tr w14:paraId="07909D80">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42C1">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工伤保险基金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2B6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3878</w:t>
            </w:r>
          </w:p>
        </w:tc>
      </w:tr>
      <w:tr w14:paraId="22786FCC">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0845">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失业保险基金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CECD">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9272</w:t>
            </w:r>
          </w:p>
        </w:tc>
      </w:tr>
      <w:tr w14:paraId="0C202638">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3C5A">
            <w:pPr>
              <w:keepNext w:val="0"/>
              <w:keepLines w:val="0"/>
              <w:pageBreakBefore w:val="0"/>
              <w:widowControl/>
              <w:suppressLineNumbers w:val="0"/>
              <w:kinsoku/>
              <w:wordWrap/>
              <w:overflowPunct/>
              <w:topLinePunct w:val="0"/>
              <w:autoSpaceDE/>
              <w:autoSpaceDN/>
              <w:bidi w:val="0"/>
              <w:adjustRightInd/>
              <w:snapToGrid/>
              <w:ind w:left="42" w:leftChars="2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生育保险基金</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4222">
            <w:pPr>
              <w:jc w:val="center"/>
              <w:rPr>
                <w:rFonts w:hint="default" w:ascii="Times New Roman" w:hAnsi="Times New Roman" w:eastAsia="等线" w:cs="Times New Roman"/>
                <w:i w:val="0"/>
                <w:color w:val="000000"/>
                <w:sz w:val="24"/>
                <w:szCs w:val="24"/>
                <w:u w:val="none"/>
              </w:rPr>
            </w:pPr>
          </w:p>
        </w:tc>
      </w:tr>
      <w:tr w14:paraId="2F102B7F">
        <w:tblPrEx>
          <w:tblCellMar>
            <w:top w:w="0" w:type="dxa"/>
            <w:left w:w="0" w:type="dxa"/>
            <w:bottom w:w="0" w:type="dxa"/>
            <w:right w:w="0" w:type="dxa"/>
          </w:tblCellMar>
        </w:tblPrEx>
        <w:trPr>
          <w:gridAfter w:val="8"/>
          <w:wAfter w:w="165" w:type="dxa"/>
          <w:trHeight w:val="454" w:hRule="atLeast"/>
        </w:trPr>
        <w:tc>
          <w:tcPr>
            <w:tcW w:w="5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1F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支出合计</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06B09">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435066</w:t>
            </w:r>
          </w:p>
        </w:tc>
      </w:tr>
    </w:tbl>
    <w:p w14:paraId="4745A69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 w:lineRule="exact"/>
        <w:jc w:val="both"/>
        <w:textAlignment w:val="auto"/>
        <w:rPr>
          <w:rFonts w:hint="default" w:ascii="Times New Roman" w:hAnsi="Times New Roman" w:eastAsia="仿宋_GB2312" w:cs="Times New Roman"/>
          <w:b w:val="0"/>
          <w:bCs w:val="0"/>
          <w:sz w:val="32"/>
          <w:szCs w:val="32"/>
        </w:rPr>
      </w:pPr>
    </w:p>
    <w:sectPr>
      <w:footerReference r:id="rId3" w:type="default"/>
      <w:footerReference r:id="rId4" w:type="even"/>
      <w:pgSz w:w="11905" w:h="16838" w:orient="landscape"/>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8D57">
    <w:pPr>
      <w:pStyle w:val="6"/>
      <w:wordWrap w:val="0"/>
      <w:ind w:firstLine="560" w:firstLineChars="200"/>
      <w:jc w:val="right"/>
      <w:rPr>
        <w:sz w:val="28"/>
        <w:szCs w:val="28"/>
      </w:rPr>
    </w:pPr>
    <w:r>
      <w:rPr>
        <w:rFonts w:hint="eastAsia"/>
        <w:sz w:val="28"/>
        <w:szCs w:val="28"/>
      </w:rPr>
      <w:t xml:space="preserve">— </w:t>
    </w:r>
    <w:r>
      <w:rPr>
        <w:sz w:val="28"/>
        <w:szCs w:val="28"/>
      </w:rPr>
      <w:fldChar w:fldCharType="begin"/>
    </w:r>
    <w:r>
      <w:rPr>
        <w:rStyle w:val="12"/>
        <w:sz w:val="28"/>
        <w:szCs w:val="28"/>
      </w:rPr>
      <w:instrText xml:space="preserve"> PAGE </w:instrText>
    </w:r>
    <w:r>
      <w:rPr>
        <w:sz w:val="28"/>
        <w:szCs w:val="28"/>
      </w:rPr>
      <w:fldChar w:fldCharType="separate"/>
    </w:r>
    <w:r>
      <w:rPr>
        <w:rStyle w:val="12"/>
        <w:sz w:val="28"/>
        <w:szCs w:val="28"/>
      </w:rPr>
      <w:t>3</w:t>
    </w:r>
    <w:r>
      <w:rPr>
        <w:sz w:val="28"/>
        <w:szCs w:val="28"/>
      </w:rPr>
      <w:fldChar w:fldCharType="end"/>
    </w:r>
    <w:r>
      <w:rPr>
        <w:rStyle w:val="12"/>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5B38">
    <w:pPr>
      <w:pStyle w:val="6"/>
      <w:ind w:firstLine="280" w:firstLineChars="100"/>
      <w:rPr>
        <w:sz w:val="28"/>
        <w:szCs w:val="28"/>
      </w:rPr>
    </w:pPr>
    <w:r>
      <w:rPr>
        <w:rFonts w:hint="eastAsia"/>
        <w:sz w:val="28"/>
        <w:szCs w:val="28"/>
      </w:rPr>
      <w:t xml:space="preserve">— </w:t>
    </w:r>
    <w:r>
      <w:rPr>
        <w:sz w:val="28"/>
        <w:szCs w:val="28"/>
      </w:rPr>
      <w:fldChar w:fldCharType="begin"/>
    </w:r>
    <w:r>
      <w:rPr>
        <w:rStyle w:val="12"/>
        <w:sz w:val="28"/>
        <w:szCs w:val="28"/>
      </w:rPr>
      <w:instrText xml:space="preserve"> PAGE </w:instrText>
    </w:r>
    <w:r>
      <w:rPr>
        <w:sz w:val="28"/>
        <w:szCs w:val="28"/>
      </w:rPr>
      <w:fldChar w:fldCharType="separate"/>
    </w:r>
    <w:r>
      <w:rPr>
        <w:rStyle w:val="12"/>
        <w:sz w:val="28"/>
        <w:szCs w:val="28"/>
      </w:rPr>
      <w:t>4</w:t>
    </w:r>
    <w:r>
      <w:rPr>
        <w:sz w:val="28"/>
        <w:szCs w:val="28"/>
      </w:rPr>
      <w:fldChar w:fldCharType="end"/>
    </w:r>
    <w:r>
      <w:rPr>
        <w:rFonts w:hint="eastAsia"/>
        <w:sz w:val="28"/>
        <w:szCs w:val="28"/>
        <w:lang w:val="en-US" w:eastAsia="zh-CN"/>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bookFoldPrinting w:val="1"/>
  <w:bookFoldPrintingSheets w:val="0"/>
  <w:drawingGridHorizontalSpacing w:val="0"/>
  <w:drawingGridVerticalSpacing w:val="159"/>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B2B5B"/>
    <w:rsid w:val="000029FA"/>
    <w:rsid w:val="00017157"/>
    <w:rsid w:val="000333AE"/>
    <w:rsid w:val="00064519"/>
    <w:rsid w:val="00066051"/>
    <w:rsid w:val="00070199"/>
    <w:rsid w:val="000731C7"/>
    <w:rsid w:val="00081C7D"/>
    <w:rsid w:val="000851C8"/>
    <w:rsid w:val="00093CA7"/>
    <w:rsid w:val="00093D93"/>
    <w:rsid w:val="000A5E44"/>
    <w:rsid w:val="000B2D9E"/>
    <w:rsid w:val="000C7C65"/>
    <w:rsid w:val="000D0410"/>
    <w:rsid w:val="000D36EE"/>
    <w:rsid w:val="000E436A"/>
    <w:rsid w:val="00104CB6"/>
    <w:rsid w:val="001062D9"/>
    <w:rsid w:val="0011719D"/>
    <w:rsid w:val="0012212C"/>
    <w:rsid w:val="00126CE7"/>
    <w:rsid w:val="00133D5B"/>
    <w:rsid w:val="00134DFA"/>
    <w:rsid w:val="001516ED"/>
    <w:rsid w:val="001624CA"/>
    <w:rsid w:val="00171618"/>
    <w:rsid w:val="001767C1"/>
    <w:rsid w:val="00196C93"/>
    <w:rsid w:val="001B1377"/>
    <w:rsid w:val="001B7E9F"/>
    <w:rsid w:val="001C3A54"/>
    <w:rsid w:val="001C4A6D"/>
    <w:rsid w:val="001D0502"/>
    <w:rsid w:val="001E2387"/>
    <w:rsid w:val="001E4518"/>
    <w:rsid w:val="001F5865"/>
    <w:rsid w:val="00210072"/>
    <w:rsid w:val="00210B3C"/>
    <w:rsid w:val="00211029"/>
    <w:rsid w:val="0022364B"/>
    <w:rsid w:val="0023080E"/>
    <w:rsid w:val="00232EE8"/>
    <w:rsid w:val="002334B9"/>
    <w:rsid w:val="0023448D"/>
    <w:rsid w:val="0024071F"/>
    <w:rsid w:val="00241D94"/>
    <w:rsid w:val="00242972"/>
    <w:rsid w:val="002447A1"/>
    <w:rsid w:val="002627CF"/>
    <w:rsid w:val="002704DD"/>
    <w:rsid w:val="00271A16"/>
    <w:rsid w:val="00275393"/>
    <w:rsid w:val="00286F70"/>
    <w:rsid w:val="00287798"/>
    <w:rsid w:val="00291663"/>
    <w:rsid w:val="002973CD"/>
    <w:rsid w:val="00297670"/>
    <w:rsid w:val="002A0C5D"/>
    <w:rsid w:val="002C0AB2"/>
    <w:rsid w:val="002C3BCE"/>
    <w:rsid w:val="002C3DDA"/>
    <w:rsid w:val="002D46DA"/>
    <w:rsid w:val="002D6F4F"/>
    <w:rsid w:val="002E5BB6"/>
    <w:rsid w:val="002E67A4"/>
    <w:rsid w:val="002F5FFD"/>
    <w:rsid w:val="002F6789"/>
    <w:rsid w:val="00301ADD"/>
    <w:rsid w:val="00310EEB"/>
    <w:rsid w:val="0031260F"/>
    <w:rsid w:val="00341E10"/>
    <w:rsid w:val="00361FDE"/>
    <w:rsid w:val="00362DA6"/>
    <w:rsid w:val="00364A94"/>
    <w:rsid w:val="0037478D"/>
    <w:rsid w:val="003753BE"/>
    <w:rsid w:val="00392097"/>
    <w:rsid w:val="003927A0"/>
    <w:rsid w:val="00393E59"/>
    <w:rsid w:val="003A25AD"/>
    <w:rsid w:val="003C0C82"/>
    <w:rsid w:val="003D0363"/>
    <w:rsid w:val="003D0783"/>
    <w:rsid w:val="003E0576"/>
    <w:rsid w:val="003E4539"/>
    <w:rsid w:val="003E54FF"/>
    <w:rsid w:val="003F35ED"/>
    <w:rsid w:val="003F7343"/>
    <w:rsid w:val="00401F60"/>
    <w:rsid w:val="00413D4B"/>
    <w:rsid w:val="00421116"/>
    <w:rsid w:val="00421B27"/>
    <w:rsid w:val="00422015"/>
    <w:rsid w:val="00426934"/>
    <w:rsid w:val="00426F28"/>
    <w:rsid w:val="00430468"/>
    <w:rsid w:val="004375D1"/>
    <w:rsid w:val="00442859"/>
    <w:rsid w:val="004464DD"/>
    <w:rsid w:val="0045458C"/>
    <w:rsid w:val="00456C81"/>
    <w:rsid w:val="00460F54"/>
    <w:rsid w:val="004625A4"/>
    <w:rsid w:val="00463E79"/>
    <w:rsid w:val="00483DE9"/>
    <w:rsid w:val="00485CCE"/>
    <w:rsid w:val="00485D9F"/>
    <w:rsid w:val="00490DE4"/>
    <w:rsid w:val="004966DF"/>
    <w:rsid w:val="004A4FF5"/>
    <w:rsid w:val="004C3C09"/>
    <w:rsid w:val="004D18FE"/>
    <w:rsid w:val="004D75CC"/>
    <w:rsid w:val="004E3683"/>
    <w:rsid w:val="004F2FF2"/>
    <w:rsid w:val="00502214"/>
    <w:rsid w:val="00502D33"/>
    <w:rsid w:val="0050402E"/>
    <w:rsid w:val="005230D8"/>
    <w:rsid w:val="0052558B"/>
    <w:rsid w:val="005357F9"/>
    <w:rsid w:val="00537215"/>
    <w:rsid w:val="005620A0"/>
    <w:rsid w:val="00562A2B"/>
    <w:rsid w:val="0056418F"/>
    <w:rsid w:val="00564CED"/>
    <w:rsid w:val="00565B29"/>
    <w:rsid w:val="00584435"/>
    <w:rsid w:val="005965EC"/>
    <w:rsid w:val="005A444D"/>
    <w:rsid w:val="005A5263"/>
    <w:rsid w:val="005B1D3A"/>
    <w:rsid w:val="005B78CE"/>
    <w:rsid w:val="005D61B6"/>
    <w:rsid w:val="005D6D21"/>
    <w:rsid w:val="005E7E36"/>
    <w:rsid w:val="005F13B1"/>
    <w:rsid w:val="005F6E25"/>
    <w:rsid w:val="00604241"/>
    <w:rsid w:val="00611FFF"/>
    <w:rsid w:val="00614ADB"/>
    <w:rsid w:val="00624E5A"/>
    <w:rsid w:val="006260A4"/>
    <w:rsid w:val="00631543"/>
    <w:rsid w:val="006334EC"/>
    <w:rsid w:val="00634EB8"/>
    <w:rsid w:val="00640AFF"/>
    <w:rsid w:val="006451EE"/>
    <w:rsid w:val="00651D6C"/>
    <w:rsid w:val="0065557D"/>
    <w:rsid w:val="006559B2"/>
    <w:rsid w:val="00655D56"/>
    <w:rsid w:val="00662E5E"/>
    <w:rsid w:val="00694B7F"/>
    <w:rsid w:val="006A5FFB"/>
    <w:rsid w:val="006C7C50"/>
    <w:rsid w:val="006E359F"/>
    <w:rsid w:val="006F69A3"/>
    <w:rsid w:val="0070034E"/>
    <w:rsid w:val="0070693C"/>
    <w:rsid w:val="007115F2"/>
    <w:rsid w:val="00712673"/>
    <w:rsid w:val="00713553"/>
    <w:rsid w:val="00713A86"/>
    <w:rsid w:val="00721F74"/>
    <w:rsid w:val="007307E5"/>
    <w:rsid w:val="007314A1"/>
    <w:rsid w:val="00745382"/>
    <w:rsid w:val="00746A0D"/>
    <w:rsid w:val="007475C6"/>
    <w:rsid w:val="00761D83"/>
    <w:rsid w:val="00764774"/>
    <w:rsid w:val="00764D82"/>
    <w:rsid w:val="0077046E"/>
    <w:rsid w:val="0077615D"/>
    <w:rsid w:val="007805C1"/>
    <w:rsid w:val="0079310F"/>
    <w:rsid w:val="007951EC"/>
    <w:rsid w:val="00795A5A"/>
    <w:rsid w:val="007A0E43"/>
    <w:rsid w:val="007A6719"/>
    <w:rsid w:val="007C3841"/>
    <w:rsid w:val="007C3BBA"/>
    <w:rsid w:val="007C5BA2"/>
    <w:rsid w:val="007D30D0"/>
    <w:rsid w:val="007D438F"/>
    <w:rsid w:val="007E72FB"/>
    <w:rsid w:val="007F2EED"/>
    <w:rsid w:val="00804D1A"/>
    <w:rsid w:val="008077B5"/>
    <w:rsid w:val="00814572"/>
    <w:rsid w:val="0081529F"/>
    <w:rsid w:val="00823DCF"/>
    <w:rsid w:val="0082707F"/>
    <w:rsid w:val="00834F4F"/>
    <w:rsid w:val="00835A3B"/>
    <w:rsid w:val="00843FF4"/>
    <w:rsid w:val="008470C6"/>
    <w:rsid w:val="00851F51"/>
    <w:rsid w:val="0085541D"/>
    <w:rsid w:val="00861F16"/>
    <w:rsid w:val="008638F1"/>
    <w:rsid w:val="00865D14"/>
    <w:rsid w:val="00866EB2"/>
    <w:rsid w:val="0087063A"/>
    <w:rsid w:val="008840CD"/>
    <w:rsid w:val="00891498"/>
    <w:rsid w:val="0089295E"/>
    <w:rsid w:val="00893B0A"/>
    <w:rsid w:val="008A305E"/>
    <w:rsid w:val="008A31DE"/>
    <w:rsid w:val="008B0630"/>
    <w:rsid w:val="008B06AD"/>
    <w:rsid w:val="008B5FFC"/>
    <w:rsid w:val="008C617A"/>
    <w:rsid w:val="008D2C40"/>
    <w:rsid w:val="008E62B0"/>
    <w:rsid w:val="008F0617"/>
    <w:rsid w:val="009001F3"/>
    <w:rsid w:val="0094590A"/>
    <w:rsid w:val="00955EFA"/>
    <w:rsid w:val="009757E5"/>
    <w:rsid w:val="0098081F"/>
    <w:rsid w:val="0099537D"/>
    <w:rsid w:val="009979D1"/>
    <w:rsid w:val="009A23B9"/>
    <w:rsid w:val="009A285D"/>
    <w:rsid w:val="009A291D"/>
    <w:rsid w:val="009C491F"/>
    <w:rsid w:val="009D4F7A"/>
    <w:rsid w:val="009E7253"/>
    <w:rsid w:val="009F1DC9"/>
    <w:rsid w:val="009F4F03"/>
    <w:rsid w:val="00A10356"/>
    <w:rsid w:val="00A2486A"/>
    <w:rsid w:val="00A263B1"/>
    <w:rsid w:val="00A26F09"/>
    <w:rsid w:val="00A3194B"/>
    <w:rsid w:val="00A4080D"/>
    <w:rsid w:val="00A54F73"/>
    <w:rsid w:val="00A606AF"/>
    <w:rsid w:val="00A642E0"/>
    <w:rsid w:val="00A73160"/>
    <w:rsid w:val="00A97933"/>
    <w:rsid w:val="00AB05B6"/>
    <w:rsid w:val="00AC7139"/>
    <w:rsid w:val="00AD0F58"/>
    <w:rsid w:val="00AD47E1"/>
    <w:rsid w:val="00AF2E5A"/>
    <w:rsid w:val="00AF5693"/>
    <w:rsid w:val="00AF7DA5"/>
    <w:rsid w:val="00B00E8C"/>
    <w:rsid w:val="00B064C2"/>
    <w:rsid w:val="00B24D05"/>
    <w:rsid w:val="00B26A1B"/>
    <w:rsid w:val="00B37C6B"/>
    <w:rsid w:val="00B426C6"/>
    <w:rsid w:val="00B53590"/>
    <w:rsid w:val="00B5460D"/>
    <w:rsid w:val="00B61F0B"/>
    <w:rsid w:val="00B62EC8"/>
    <w:rsid w:val="00B85445"/>
    <w:rsid w:val="00BA06F9"/>
    <w:rsid w:val="00BB4054"/>
    <w:rsid w:val="00BB6BF1"/>
    <w:rsid w:val="00BC05A2"/>
    <w:rsid w:val="00BC135E"/>
    <w:rsid w:val="00BC2673"/>
    <w:rsid w:val="00BD375E"/>
    <w:rsid w:val="00BD690E"/>
    <w:rsid w:val="00BD6E37"/>
    <w:rsid w:val="00BE3129"/>
    <w:rsid w:val="00BE3A4E"/>
    <w:rsid w:val="00BF249E"/>
    <w:rsid w:val="00BF311D"/>
    <w:rsid w:val="00BF68AB"/>
    <w:rsid w:val="00C1364F"/>
    <w:rsid w:val="00C156E5"/>
    <w:rsid w:val="00C207FB"/>
    <w:rsid w:val="00C24170"/>
    <w:rsid w:val="00C42A77"/>
    <w:rsid w:val="00C477B4"/>
    <w:rsid w:val="00C53C94"/>
    <w:rsid w:val="00C57674"/>
    <w:rsid w:val="00C629FD"/>
    <w:rsid w:val="00C63790"/>
    <w:rsid w:val="00C75DBB"/>
    <w:rsid w:val="00C840D0"/>
    <w:rsid w:val="00C91D83"/>
    <w:rsid w:val="00CB3C9F"/>
    <w:rsid w:val="00CB68A3"/>
    <w:rsid w:val="00CC5FBD"/>
    <w:rsid w:val="00CF615A"/>
    <w:rsid w:val="00CF739D"/>
    <w:rsid w:val="00D06776"/>
    <w:rsid w:val="00D07D71"/>
    <w:rsid w:val="00D10B92"/>
    <w:rsid w:val="00D133D4"/>
    <w:rsid w:val="00D1451E"/>
    <w:rsid w:val="00D20173"/>
    <w:rsid w:val="00D21E48"/>
    <w:rsid w:val="00D23EF7"/>
    <w:rsid w:val="00D269E5"/>
    <w:rsid w:val="00D3213C"/>
    <w:rsid w:val="00D51285"/>
    <w:rsid w:val="00D53549"/>
    <w:rsid w:val="00D6077F"/>
    <w:rsid w:val="00D91516"/>
    <w:rsid w:val="00DC583C"/>
    <w:rsid w:val="00DD1CD2"/>
    <w:rsid w:val="00DD55D5"/>
    <w:rsid w:val="00DD6B74"/>
    <w:rsid w:val="00DD7404"/>
    <w:rsid w:val="00DE1273"/>
    <w:rsid w:val="00DE2074"/>
    <w:rsid w:val="00DE4E48"/>
    <w:rsid w:val="00DE5862"/>
    <w:rsid w:val="00E0059E"/>
    <w:rsid w:val="00E05BA3"/>
    <w:rsid w:val="00E33555"/>
    <w:rsid w:val="00E370DD"/>
    <w:rsid w:val="00E374F2"/>
    <w:rsid w:val="00E42775"/>
    <w:rsid w:val="00E43FA4"/>
    <w:rsid w:val="00E43FAC"/>
    <w:rsid w:val="00E63E57"/>
    <w:rsid w:val="00E64E03"/>
    <w:rsid w:val="00E71054"/>
    <w:rsid w:val="00E7552E"/>
    <w:rsid w:val="00E77204"/>
    <w:rsid w:val="00EA1EF8"/>
    <w:rsid w:val="00EA6D45"/>
    <w:rsid w:val="00EB148B"/>
    <w:rsid w:val="00EB4FB4"/>
    <w:rsid w:val="00ED0B6A"/>
    <w:rsid w:val="00ED4B7E"/>
    <w:rsid w:val="00ED6776"/>
    <w:rsid w:val="00EE56FF"/>
    <w:rsid w:val="00EF386A"/>
    <w:rsid w:val="00F021C6"/>
    <w:rsid w:val="00F04F40"/>
    <w:rsid w:val="00F0560D"/>
    <w:rsid w:val="00F13B1F"/>
    <w:rsid w:val="00F15755"/>
    <w:rsid w:val="00F24DC6"/>
    <w:rsid w:val="00F35244"/>
    <w:rsid w:val="00F37600"/>
    <w:rsid w:val="00F41296"/>
    <w:rsid w:val="00F500A6"/>
    <w:rsid w:val="00F5222B"/>
    <w:rsid w:val="00F63FD5"/>
    <w:rsid w:val="00F648D0"/>
    <w:rsid w:val="00F6733C"/>
    <w:rsid w:val="00F80DE5"/>
    <w:rsid w:val="00F86490"/>
    <w:rsid w:val="00F8766E"/>
    <w:rsid w:val="00F90876"/>
    <w:rsid w:val="00FA0997"/>
    <w:rsid w:val="00FA586B"/>
    <w:rsid w:val="00FB009B"/>
    <w:rsid w:val="00FD33C1"/>
    <w:rsid w:val="00FD7271"/>
    <w:rsid w:val="00FD75B4"/>
    <w:rsid w:val="01554C58"/>
    <w:rsid w:val="018E6131"/>
    <w:rsid w:val="020309A0"/>
    <w:rsid w:val="03797B84"/>
    <w:rsid w:val="050E7CB4"/>
    <w:rsid w:val="0B17755A"/>
    <w:rsid w:val="0B417BAC"/>
    <w:rsid w:val="0C2A2574"/>
    <w:rsid w:val="0F9D3384"/>
    <w:rsid w:val="15F41676"/>
    <w:rsid w:val="1DE85E76"/>
    <w:rsid w:val="1EFF0DD8"/>
    <w:rsid w:val="1FC330DA"/>
    <w:rsid w:val="22AB6DF7"/>
    <w:rsid w:val="25425A7E"/>
    <w:rsid w:val="2CD52826"/>
    <w:rsid w:val="31555E9F"/>
    <w:rsid w:val="323A1659"/>
    <w:rsid w:val="3267239B"/>
    <w:rsid w:val="35144412"/>
    <w:rsid w:val="351B2B5B"/>
    <w:rsid w:val="37F25E0E"/>
    <w:rsid w:val="3CD64319"/>
    <w:rsid w:val="3D4E0530"/>
    <w:rsid w:val="42193C88"/>
    <w:rsid w:val="44520BDA"/>
    <w:rsid w:val="44BF6B22"/>
    <w:rsid w:val="450B61CB"/>
    <w:rsid w:val="45A51B1D"/>
    <w:rsid w:val="45E56779"/>
    <w:rsid w:val="473F3BC8"/>
    <w:rsid w:val="4B131E32"/>
    <w:rsid w:val="4BFC2137"/>
    <w:rsid w:val="4C3D5F60"/>
    <w:rsid w:val="502E4095"/>
    <w:rsid w:val="50621CBD"/>
    <w:rsid w:val="565F4D52"/>
    <w:rsid w:val="5ABC1A29"/>
    <w:rsid w:val="5EEF6F17"/>
    <w:rsid w:val="5FB95B22"/>
    <w:rsid w:val="61F76388"/>
    <w:rsid w:val="63D66321"/>
    <w:rsid w:val="67865EC1"/>
    <w:rsid w:val="6B6E5EA6"/>
    <w:rsid w:val="6D4F2623"/>
    <w:rsid w:val="70BD7561"/>
    <w:rsid w:val="72494707"/>
    <w:rsid w:val="737465AB"/>
    <w:rsid w:val="7C8A3C45"/>
    <w:rsid w:val="7FC20E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afterLines="0" w:line="240" w:lineRule="auto"/>
      <w:ind w:left="420" w:leftChars="200" w:firstLine="420" w:firstLineChars="200"/>
      <w:jc w:val="both"/>
    </w:pPr>
    <w:rPr>
      <w:rFonts w:ascii="Times New Roman" w:hAnsi="Times New Roman" w:eastAsia="宋体" w:cs="Times New Roman"/>
    </w:rPr>
  </w:style>
  <w:style w:type="paragraph" w:customStyle="1" w:styleId="3">
    <w:name w:val="BodyTextIndent"/>
    <w:basedOn w:val="1"/>
    <w:qFormat/>
    <w:uiPriority w:val="0"/>
    <w:pPr>
      <w:spacing w:after="120" w:afterLines="0" w:line="240" w:lineRule="auto"/>
      <w:ind w:left="420" w:leftChars="200"/>
      <w:jc w:val="both"/>
    </w:pPr>
    <w:rPr>
      <w:rFonts w:ascii="Times New Roman" w:hAnsi="Times New Roman" w:eastAsia="宋体" w:cs="Times New Roman"/>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Char Char Char Char Char Char Char"/>
    <w:basedOn w:val="1"/>
    <w:qFormat/>
    <w:uiPriority w:val="0"/>
    <w:pPr>
      <w:widowControl/>
      <w:spacing w:after="160" w:line="240" w:lineRule="exact"/>
      <w:jc w:val="left"/>
    </w:pPr>
    <w:rPr>
      <w:rFonts w:eastAsia="Times New Roman"/>
      <w:kern w:val="0"/>
      <w:sz w:val="24"/>
    </w:rPr>
  </w:style>
  <w:style w:type="paragraph" w:customStyle="1" w:styleId="14">
    <w:name w:val="Char Char Char"/>
    <w:basedOn w:val="1"/>
    <w:qFormat/>
    <w:uiPriority w:val="0"/>
    <w:pPr>
      <w:widowControl/>
      <w:spacing w:after="160" w:line="240" w:lineRule="exact"/>
      <w:jc w:val="left"/>
    </w:pPr>
  </w:style>
  <w:style w:type="paragraph" w:customStyle="1" w:styleId="15">
    <w:name w:val="Char"/>
    <w:basedOn w:val="1"/>
    <w:qFormat/>
    <w:uiPriority w:val="0"/>
    <w:pPr>
      <w:spacing w:line="360" w:lineRule="auto"/>
      <w:ind w:firstLine="200" w:firstLineChars="200"/>
    </w:pPr>
  </w:style>
  <w:style w:type="character" w:customStyle="1" w:styleId="16">
    <w:name w:val="批注框文本 Char"/>
    <w:basedOn w:val="10"/>
    <w:link w:val="5"/>
    <w:qFormat/>
    <w:uiPriority w:val="0"/>
    <w:rPr>
      <w:kern w:val="2"/>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11"/>
    <w:basedOn w:val="10"/>
    <w:qFormat/>
    <w:uiPriority w:val="0"/>
    <w:rPr>
      <w:rFonts w:hint="default" w:ascii="Times New Roman" w:hAnsi="Times New Roman" w:cs="Times New Roman"/>
      <w:color w:val="000000"/>
      <w:sz w:val="22"/>
      <w:szCs w:val="22"/>
      <w:u w:val="none"/>
    </w:rPr>
  </w:style>
  <w:style w:type="character" w:customStyle="1" w:styleId="19">
    <w:name w:val="font21"/>
    <w:basedOn w:val="10"/>
    <w:qFormat/>
    <w:uiPriority w:val="0"/>
    <w:rPr>
      <w:rFonts w:hint="eastAsia" w:ascii="黑体" w:hAnsi="宋体" w:eastAsia="黑体" w:cs="黑体"/>
      <w:color w:val="000000"/>
      <w:sz w:val="24"/>
      <w:szCs w:val="24"/>
      <w:u w:val="none"/>
    </w:rPr>
  </w:style>
  <w:style w:type="character" w:customStyle="1" w:styleId="20">
    <w:name w:val="font61"/>
    <w:basedOn w:val="10"/>
    <w:qFormat/>
    <w:uiPriority w:val="0"/>
    <w:rPr>
      <w:rFonts w:hint="eastAsia" w:ascii="宋体" w:hAnsi="宋体" w:eastAsia="宋体" w:cs="宋体"/>
      <w:color w:val="000000"/>
      <w:sz w:val="24"/>
      <w:szCs w:val="24"/>
      <w:u w:val="none"/>
    </w:rPr>
  </w:style>
  <w:style w:type="character" w:customStyle="1" w:styleId="21">
    <w:name w:val="font41"/>
    <w:basedOn w:val="10"/>
    <w:qFormat/>
    <w:uiPriority w:val="0"/>
    <w:rPr>
      <w:rFonts w:hint="eastAsia" w:ascii="宋体" w:hAnsi="宋体" w:eastAsia="宋体" w:cs="宋体"/>
      <w:color w:val="000000"/>
      <w:sz w:val="24"/>
      <w:szCs w:val="24"/>
      <w:u w:val="none"/>
    </w:rPr>
  </w:style>
  <w:style w:type="character" w:customStyle="1" w:styleId="22">
    <w:name w:val="font51"/>
    <w:basedOn w:val="10"/>
    <w:qFormat/>
    <w:uiPriority w:val="0"/>
    <w:rPr>
      <w:rFonts w:hint="eastAsia" w:ascii="宋体" w:hAnsi="宋体" w:eastAsia="宋体" w:cs="宋体"/>
      <w:color w:val="000000"/>
      <w:sz w:val="24"/>
      <w:szCs w:val="24"/>
      <w:u w:val="none"/>
    </w:rPr>
  </w:style>
  <w:style w:type="character" w:customStyle="1" w:styleId="23">
    <w:name w:val="font31"/>
    <w:basedOn w:val="10"/>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0214;wo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文件word.dot</Template>
  <Pages>40</Pages>
  <Words>1210</Words>
  <Characters>1525</Characters>
  <Lines>9</Lines>
  <Paragraphs>2</Paragraphs>
  <TotalTime>33</TotalTime>
  <ScaleCrop>false</ScaleCrop>
  <LinksUpToDate>false</LinksUpToDate>
  <CharactersWithSpaces>1525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2021-01-30T11:13:00Z</dcterms:created>
  <dc:creator>Administrator</dc:creator>
  <cp:lastModifiedBy>郑先森</cp:lastModifiedBy>
  <cp:lastPrinted>2021-02-01T02:08:00Z</cp:lastPrinted>
  <dcterms:modified xsi:type="dcterms:W3CDTF">2025-02-10T09:37:40Z</dcterms:modified>
  <dc:title>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eyJoZGlkIjoiMmIyNzI0MDgzZTc2OGRlNWIwYTYyNzkyYmY1NzYwMDkiLCJ1c2VySWQiOiIyNDI1NjAyODYifQ==</vt:lpwstr>
  </property>
  <property fmtid="{D5CDD505-2E9C-101B-9397-08002B2CF9AE}" pid="4" name="ICV">
    <vt:lpwstr>62740645F8A64D4BAC5296EC29692C4B_12</vt:lpwstr>
  </property>
</Properties>
</file>